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75736" w14:textId="77777777" w:rsidR="008B2264" w:rsidRPr="005F258D" w:rsidRDefault="008B2264" w:rsidP="00350B72">
      <w:pPr>
        <w:pStyle w:val="Ttulo1"/>
        <w:jc w:val="left"/>
        <w:rPr>
          <w:rFonts w:eastAsia="Arial"/>
          <w:color w:val="003300"/>
        </w:rPr>
      </w:pPr>
    </w:p>
    <w:p w14:paraId="54598171" w14:textId="77777777" w:rsidR="008B2264"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UNIVERSIDAD DE ANTIOQUIA</w:t>
      </w:r>
    </w:p>
    <w:p w14:paraId="08C7A931" w14:textId="77777777" w:rsidR="008B2264" w:rsidRPr="005F258D" w:rsidRDefault="008B2264" w:rsidP="008B2264">
      <w:pPr>
        <w:spacing w:after="0" w:line="240" w:lineRule="auto"/>
        <w:jc w:val="center"/>
        <w:rPr>
          <w:rFonts w:ascii="Arial" w:eastAsia="Arial" w:hAnsi="Arial" w:cs="Arial"/>
          <w:b/>
          <w:bCs/>
          <w:color w:val="003300"/>
        </w:rPr>
      </w:pPr>
    </w:p>
    <w:p w14:paraId="6EB267CF" w14:textId="0319537E" w:rsidR="008B2264"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FACULTAD DE CIENCIAS ECONÓMICAS</w:t>
      </w:r>
    </w:p>
    <w:p w14:paraId="4D455414" w14:textId="77777777" w:rsidR="008B2264" w:rsidRPr="005F258D" w:rsidRDefault="008B2264" w:rsidP="008B2264">
      <w:pPr>
        <w:spacing w:after="0" w:line="240" w:lineRule="auto"/>
        <w:jc w:val="center"/>
        <w:rPr>
          <w:rFonts w:ascii="Arial" w:eastAsia="Arial" w:hAnsi="Arial" w:cs="Arial"/>
          <w:b/>
          <w:bCs/>
          <w:color w:val="003300"/>
        </w:rPr>
      </w:pPr>
    </w:p>
    <w:p w14:paraId="77B7620C" w14:textId="77777777" w:rsidR="008B2264"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DEPARTAMENTO DE CIENCIAS CONTABLES</w:t>
      </w:r>
    </w:p>
    <w:p w14:paraId="51395DF2" w14:textId="77777777" w:rsidR="008B2264" w:rsidRPr="005F258D" w:rsidRDefault="008B2264" w:rsidP="008B2264">
      <w:pPr>
        <w:spacing w:after="0" w:line="240" w:lineRule="auto"/>
        <w:jc w:val="right"/>
        <w:rPr>
          <w:rFonts w:ascii="Arial" w:eastAsia="Arial" w:hAnsi="Arial" w:cs="Arial"/>
          <w:b/>
          <w:bCs/>
          <w:color w:val="003300"/>
        </w:rPr>
      </w:pPr>
    </w:p>
    <w:p w14:paraId="20D5E2DC" w14:textId="77777777" w:rsidR="008B2264" w:rsidRPr="005F258D" w:rsidRDefault="008B2264" w:rsidP="008B2264">
      <w:pPr>
        <w:spacing w:after="0" w:line="240" w:lineRule="auto"/>
        <w:jc w:val="right"/>
        <w:rPr>
          <w:rFonts w:ascii="Arial" w:eastAsia="Arial" w:hAnsi="Arial" w:cs="Arial"/>
          <w:b/>
          <w:bCs/>
          <w:color w:val="003300"/>
        </w:rPr>
      </w:pPr>
    </w:p>
    <w:p w14:paraId="486CD283" w14:textId="77777777" w:rsidR="008B2264" w:rsidRPr="005F258D" w:rsidRDefault="008B2264" w:rsidP="008B2264">
      <w:pPr>
        <w:spacing w:after="0" w:line="240" w:lineRule="auto"/>
        <w:jc w:val="center"/>
        <w:rPr>
          <w:rFonts w:ascii="Arial" w:eastAsia="Arial" w:hAnsi="Arial" w:cs="Arial"/>
          <w:b/>
          <w:bCs/>
          <w:color w:val="003300"/>
        </w:rPr>
      </w:pPr>
      <w:r w:rsidRPr="005F258D">
        <w:rPr>
          <w:noProof/>
          <w:color w:val="003300"/>
          <w:lang w:eastAsia="es-CO"/>
        </w:rPr>
        <w:drawing>
          <wp:inline distT="0" distB="0" distL="0" distR="0" wp14:anchorId="3172E95D" wp14:editId="206F7106">
            <wp:extent cx="1409700" cy="2050824"/>
            <wp:effectExtent l="0" t="0" r="0" b="6985"/>
            <wp:docPr id="1" name="Imagen 1" descr="http://www2.udea.edu.co/ud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udea.edu.co/ude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2050824"/>
                    </a:xfrm>
                    <a:prstGeom prst="rect">
                      <a:avLst/>
                    </a:prstGeom>
                    <a:noFill/>
                    <a:ln>
                      <a:noFill/>
                    </a:ln>
                  </pic:spPr>
                </pic:pic>
              </a:graphicData>
            </a:graphic>
          </wp:inline>
        </w:drawing>
      </w:r>
    </w:p>
    <w:p w14:paraId="11D4B519" w14:textId="77777777" w:rsidR="008B2264" w:rsidRPr="005F258D" w:rsidRDefault="008B2264" w:rsidP="008B2264">
      <w:pPr>
        <w:spacing w:after="0" w:line="240" w:lineRule="auto"/>
        <w:jc w:val="right"/>
        <w:rPr>
          <w:rFonts w:ascii="Arial" w:eastAsia="Arial" w:hAnsi="Arial" w:cs="Arial"/>
          <w:b/>
          <w:bCs/>
          <w:color w:val="003300"/>
        </w:rPr>
      </w:pPr>
    </w:p>
    <w:p w14:paraId="28343AD4" w14:textId="77777777" w:rsidR="008B2264" w:rsidRPr="005F258D" w:rsidRDefault="008B2264" w:rsidP="008B2264">
      <w:pPr>
        <w:spacing w:after="0" w:line="240" w:lineRule="auto"/>
        <w:jc w:val="right"/>
        <w:rPr>
          <w:rFonts w:ascii="Arial" w:eastAsia="Arial" w:hAnsi="Arial" w:cs="Arial"/>
          <w:b/>
          <w:bCs/>
          <w:color w:val="003300"/>
        </w:rPr>
      </w:pPr>
    </w:p>
    <w:p w14:paraId="76C19A13" w14:textId="77777777" w:rsidR="008B2264" w:rsidRPr="005F258D" w:rsidRDefault="008B2264" w:rsidP="008B2264">
      <w:pPr>
        <w:spacing w:after="0" w:line="240" w:lineRule="auto"/>
        <w:jc w:val="right"/>
        <w:rPr>
          <w:rFonts w:ascii="Arial" w:eastAsia="Arial" w:hAnsi="Arial" w:cs="Arial"/>
          <w:b/>
          <w:bCs/>
          <w:color w:val="003300"/>
        </w:rPr>
      </w:pPr>
    </w:p>
    <w:p w14:paraId="7C40BA8B" w14:textId="0591A608" w:rsidR="008B2264"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Memoria metodológica</w:t>
      </w:r>
    </w:p>
    <w:p w14:paraId="5A415936" w14:textId="77777777" w:rsidR="008B2264" w:rsidRPr="005F258D" w:rsidRDefault="008B2264" w:rsidP="008B2264">
      <w:pPr>
        <w:spacing w:after="0" w:line="240" w:lineRule="auto"/>
        <w:jc w:val="center"/>
        <w:rPr>
          <w:rFonts w:ascii="Arial" w:eastAsia="Arial" w:hAnsi="Arial" w:cs="Arial"/>
          <w:b/>
          <w:bCs/>
          <w:color w:val="003300"/>
        </w:rPr>
      </w:pPr>
    </w:p>
    <w:p w14:paraId="18084A0E" w14:textId="77777777" w:rsidR="008B2264" w:rsidRPr="005F258D" w:rsidRDefault="008B2264" w:rsidP="008B2264">
      <w:pPr>
        <w:spacing w:after="0" w:line="240" w:lineRule="auto"/>
        <w:jc w:val="center"/>
        <w:rPr>
          <w:rFonts w:ascii="Arial" w:eastAsia="Arial" w:hAnsi="Arial" w:cs="Arial"/>
          <w:b/>
          <w:bCs/>
          <w:color w:val="003300"/>
        </w:rPr>
      </w:pPr>
    </w:p>
    <w:p w14:paraId="110DC1F9" w14:textId="4D41EA26" w:rsidR="008B2264" w:rsidRPr="005F258D" w:rsidRDefault="008B2264" w:rsidP="008B2264">
      <w:pPr>
        <w:spacing w:after="0" w:line="240" w:lineRule="auto"/>
        <w:jc w:val="center"/>
        <w:rPr>
          <w:rFonts w:ascii="Arial" w:hAnsi="Arial" w:cs="Arial"/>
          <w:color w:val="003300"/>
        </w:rPr>
      </w:pPr>
      <w:r w:rsidRPr="005F258D">
        <w:rPr>
          <w:rFonts w:ascii="Arial" w:eastAsia="Arial" w:hAnsi="Arial" w:cs="Arial"/>
          <w:color w:val="003300"/>
        </w:rPr>
        <w:t xml:space="preserve">LAS NORMAS INTERNACIONALES DE INFORMACIÓN FINANCIERA (NIIF) Y SUS EFECTOS EN </w:t>
      </w:r>
      <w:r w:rsidR="00741496">
        <w:rPr>
          <w:rFonts w:ascii="Arial" w:eastAsia="Arial" w:hAnsi="Arial" w:cs="Arial"/>
          <w:color w:val="003300"/>
        </w:rPr>
        <w:t>LA DEPURACION DE LA RENTA LIQUIDA GRAVABLE</w:t>
      </w:r>
      <w:r w:rsidRPr="005F258D">
        <w:rPr>
          <w:rFonts w:ascii="Arial" w:eastAsia="Arial" w:hAnsi="Arial" w:cs="Arial"/>
          <w:color w:val="003300"/>
        </w:rPr>
        <w:t xml:space="preserve"> DE LAS EMPRESAS COMERCIALIZADORAS </w:t>
      </w:r>
    </w:p>
    <w:p w14:paraId="57D71A7D" w14:textId="77777777" w:rsidR="008B2264" w:rsidRPr="005F258D" w:rsidRDefault="008B2264" w:rsidP="008B2264">
      <w:pPr>
        <w:spacing w:after="0" w:line="240" w:lineRule="auto"/>
        <w:jc w:val="center"/>
        <w:rPr>
          <w:rFonts w:ascii="Arial" w:eastAsia="Arial" w:hAnsi="Arial" w:cs="Arial"/>
          <w:b/>
          <w:bCs/>
          <w:color w:val="003300"/>
        </w:rPr>
      </w:pPr>
    </w:p>
    <w:p w14:paraId="7DA4A82A" w14:textId="77777777" w:rsidR="008B2264" w:rsidRPr="005F258D" w:rsidRDefault="008B2264" w:rsidP="008B2264">
      <w:pPr>
        <w:spacing w:after="0" w:line="240" w:lineRule="auto"/>
        <w:jc w:val="center"/>
        <w:rPr>
          <w:rFonts w:ascii="Arial" w:eastAsia="Arial" w:hAnsi="Arial" w:cs="Arial"/>
          <w:b/>
          <w:bCs/>
          <w:color w:val="003300"/>
        </w:rPr>
      </w:pPr>
    </w:p>
    <w:p w14:paraId="72200D9E" w14:textId="77777777" w:rsidR="008B2264" w:rsidRPr="005F258D" w:rsidRDefault="008B2264" w:rsidP="008B2264">
      <w:pPr>
        <w:spacing w:after="0" w:line="240" w:lineRule="auto"/>
        <w:jc w:val="right"/>
        <w:rPr>
          <w:rFonts w:ascii="Arial" w:eastAsia="Arial" w:hAnsi="Arial" w:cs="Arial"/>
          <w:b/>
          <w:bCs/>
          <w:color w:val="003300"/>
        </w:rPr>
      </w:pPr>
    </w:p>
    <w:p w14:paraId="52B748EE" w14:textId="77777777" w:rsidR="008B2264"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Presentado por:</w:t>
      </w:r>
    </w:p>
    <w:p w14:paraId="5C75A6E7" w14:textId="77777777" w:rsidR="008B2264" w:rsidRPr="005F258D" w:rsidRDefault="008B2264" w:rsidP="008B2264">
      <w:pPr>
        <w:spacing w:after="0" w:line="240" w:lineRule="auto"/>
        <w:jc w:val="center"/>
        <w:rPr>
          <w:rFonts w:ascii="Arial" w:eastAsia="Arial" w:hAnsi="Arial" w:cs="Arial"/>
          <w:color w:val="003300"/>
        </w:rPr>
      </w:pPr>
      <w:r w:rsidRPr="005F258D">
        <w:rPr>
          <w:rFonts w:ascii="Arial" w:eastAsia="Arial" w:hAnsi="Arial" w:cs="Arial"/>
          <w:color w:val="003300"/>
        </w:rPr>
        <w:t>Beatriz Elena Torres Soto – beatrizelenats@gmail.com</w:t>
      </w:r>
    </w:p>
    <w:p w14:paraId="2890E0F5" w14:textId="77777777" w:rsidR="008B2264" w:rsidRPr="005F258D" w:rsidRDefault="008B2264" w:rsidP="008B2264">
      <w:pPr>
        <w:spacing w:after="0" w:line="240" w:lineRule="auto"/>
        <w:jc w:val="center"/>
        <w:rPr>
          <w:rFonts w:ascii="Arial" w:eastAsia="Arial" w:hAnsi="Arial" w:cs="Arial"/>
          <w:color w:val="003300"/>
        </w:rPr>
      </w:pPr>
      <w:r w:rsidRPr="005F258D">
        <w:rPr>
          <w:rFonts w:ascii="Arial" w:eastAsia="Arial" w:hAnsi="Arial" w:cs="Arial"/>
          <w:color w:val="003300"/>
        </w:rPr>
        <w:t>Cristian David Moreno Palacios – cristiandavidmp@gmail.com</w:t>
      </w:r>
    </w:p>
    <w:p w14:paraId="5912E634" w14:textId="77777777" w:rsidR="008B2264" w:rsidRPr="005F258D" w:rsidRDefault="008B2264" w:rsidP="008B2264">
      <w:pPr>
        <w:spacing w:after="0" w:line="240" w:lineRule="auto"/>
        <w:jc w:val="center"/>
        <w:rPr>
          <w:rFonts w:ascii="Arial" w:eastAsia="Arial" w:hAnsi="Arial" w:cs="Arial"/>
          <w:color w:val="003300"/>
        </w:rPr>
      </w:pPr>
      <w:r w:rsidRPr="005F258D">
        <w:rPr>
          <w:rFonts w:ascii="Arial" w:eastAsia="Arial" w:hAnsi="Arial" w:cs="Arial"/>
          <w:color w:val="003300"/>
        </w:rPr>
        <w:t>Julián Fernando Pineda Marulanda – julianpinedam@gmail.com</w:t>
      </w:r>
    </w:p>
    <w:p w14:paraId="45163281" w14:textId="77777777" w:rsidR="008B2264" w:rsidRPr="005F258D" w:rsidRDefault="008B2264" w:rsidP="008B2264">
      <w:pPr>
        <w:spacing w:after="0" w:line="240" w:lineRule="auto"/>
        <w:jc w:val="center"/>
        <w:rPr>
          <w:rFonts w:ascii="Arial" w:eastAsia="Arial" w:hAnsi="Arial" w:cs="Arial"/>
          <w:color w:val="003300"/>
        </w:rPr>
      </w:pPr>
    </w:p>
    <w:p w14:paraId="30D45796" w14:textId="77777777" w:rsidR="008B2264" w:rsidRPr="005F258D" w:rsidRDefault="008B2264" w:rsidP="008B2264">
      <w:pPr>
        <w:spacing w:after="0" w:line="240" w:lineRule="auto"/>
        <w:jc w:val="center"/>
        <w:rPr>
          <w:rFonts w:ascii="Arial" w:eastAsia="Arial" w:hAnsi="Arial" w:cs="Arial"/>
          <w:color w:val="003300"/>
        </w:rPr>
      </w:pPr>
    </w:p>
    <w:p w14:paraId="7F9C61FD" w14:textId="77777777" w:rsidR="008B2264" w:rsidRPr="005F258D" w:rsidRDefault="008B2264" w:rsidP="008B2264">
      <w:pPr>
        <w:spacing w:after="0" w:line="240" w:lineRule="auto"/>
        <w:jc w:val="center"/>
        <w:rPr>
          <w:rFonts w:ascii="Arial" w:eastAsia="Arial" w:hAnsi="Arial" w:cs="Arial"/>
          <w:b/>
          <w:bCs/>
          <w:color w:val="003300"/>
        </w:rPr>
      </w:pPr>
    </w:p>
    <w:p w14:paraId="2D683307" w14:textId="77777777" w:rsidR="008B2264" w:rsidRPr="005F258D" w:rsidRDefault="008B2264" w:rsidP="008B2264">
      <w:pPr>
        <w:spacing w:after="0" w:line="240" w:lineRule="auto"/>
        <w:jc w:val="center"/>
        <w:rPr>
          <w:color w:val="003300"/>
        </w:rPr>
      </w:pPr>
      <w:r w:rsidRPr="005F258D">
        <w:rPr>
          <w:rFonts w:ascii="Arial" w:eastAsia="Arial" w:hAnsi="Arial" w:cs="Arial"/>
          <w:b/>
          <w:bCs/>
          <w:color w:val="003300"/>
        </w:rPr>
        <w:t>Asesorado temático</w:t>
      </w:r>
    </w:p>
    <w:p w14:paraId="117A60CC" w14:textId="77777777" w:rsidR="008B2264" w:rsidRPr="005F258D" w:rsidRDefault="008B2264" w:rsidP="008B2264">
      <w:pPr>
        <w:spacing w:after="0" w:line="240" w:lineRule="auto"/>
        <w:jc w:val="center"/>
        <w:rPr>
          <w:rFonts w:ascii="Arial" w:eastAsia="Arial" w:hAnsi="Arial" w:cs="Arial"/>
          <w:color w:val="003300"/>
        </w:rPr>
      </w:pPr>
      <w:r w:rsidRPr="005F258D">
        <w:rPr>
          <w:rFonts w:ascii="Arial" w:eastAsia="Arial" w:hAnsi="Arial" w:cs="Arial"/>
          <w:color w:val="003300"/>
        </w:rPr>
        <w:t>Jaime Alberto Guevara Sanabria</w:t>
      </w:r>
    </w:p>
    <w:p w14:paraId="1EE03001" w14:textId="77777777" w:rsidR="008B2264" w:rsidRPr="005F258D" w:rsidRDefault="008B2264" w:rsidP="008B2264">
      <w:pPr>
        <w:spacing w:after="0" w:line="240" w:lineRule="auto"/>
        <w:jc w:val="center"/>
        <w:rPr>
          <w:rFonts w:ascii="Arial" w:eastAsia="Arial" w:hAnsi="Arial" w:cs="Arial"/>
          <w:color w:val="003300"/>
        </w:rPr>
      </w:pPr>
    </w:p>
    <w:p w14:paraId="5D30D781" w14:textId="77777777" w:rsidR="008B2264" w:rsidRPr="005F258D" w:rsidRDefault="008B2264" w:rsidP="008B2264">
      <w:pPr>
        <w:spacing w:after="0" w:line="240" w:lineRule="auto"/>
        <w:jc w:val="center"/>
        <w:rPr>
          <w:rFonts w:ascii="Arial" w:eastAsia="Arial" w:hAnsi="Arial" w:cs="Arial"/>
          <w:color w:val="003300"/>
        </w:rPr>
      </w:pPr>
    </w:p>
    <w:p w14:paraId="199E4B31" w14:textId="77777777" w:rsidR="008B2264" w:rsidRPr="005F258D" w:rsidRDefault="008B2264" w:rsidP="008B2264">
      <w:pPr>
        <w:spacing w:after="0" w:line="240" w:lineRule="auto"/>
        <w:jc w:val="center"/>
        <w:rPr>
          <w:color w:val="003300"/>
        </w:rPr>
      </w:pPr>
      <w:r w:rsidRPr="005F258D">
        <w:rPr>
          <w:rFonts w:ascii="Arial" w:eastAsia="Arial" w:hAnsi="Arial" w:cs="Arial"/>
          <w:b/>
          <w:bCs/>
          <w:color w:val="003300"/>
        </w:rPr>
        <w:t>Asesorado metodológico</w:t>
      </w:r>
    </w:p>
    <w:p w14:paraId="68B74C73" w14:textId="77777777" w:rsidR="008B2264" w:rsidRPr="005F258D" w:rsidRDefault="008B2264" w:rsidP="008B2264">
      <w:pPr>
        <w:spacing w:after="0" w:line="240" w:lineRule="auto"/>
        <w:jc w:val="center"/>
        <w:rPr>
          <w:color w:val="003300"/>
        </w:rPr>
      </w:pPr>
      <w:r w:rsidRPr="005F258D">
        <w:rPr>
          <w:rFonts w:ascii="Arial" w:eastAsia="Arial" w:hAnsi="Arial" w:cs="Arial"/>
          <w:color w:val="003300"/>
        </w:rPr>
        <w:t>Carlos Mario Ospina Zapata</w:t>
      </w:r>
    </w:p>
    <w:p w14:paraId="5AFCB3B7" w14:textId="77777777" w:rsidR="008B2264" w:rsidRPr="005F258D" w:rsidRDefault="008B2264" w:rsidP="008B2264">
      <w:pPr>
        <w:spacing w:after="0" w:line="240" w:lineRule="auto"/>
        <w:jc w:val="center"/>
        <w:rPr>
          <w:rFonts w:ascii="Arial" w:eastAsia="Arial" w:hAnsi="Arial" w:cs="Arial"/>
          <w:b/>
          <w:bCs/>
          <w:color w:val="003300"/>
        </w:rPr>
      </w:pPr>
    </w:p>
    <w:p w14:paraId="2B874873" w14:textId="77777777" w:rsidR="008B2264" w:rsidRPr="005F258D" w:rsidRDefault="008B2264" w:rsidP="008B2264">
      <w:pPr>
        <w:spacing w:after="0" w:line="240" w:lineRule="auto"/>
        <w:jc w:val="center"/>
        <w:rPr>
          <w:rFonts w:ascii="Arial" w:eastAsia="Arial" w:hAnsi="Arial" w:cs="Arial"/>
          <w:b/>
          <w:bCs/>
          <w:color w:val="003300"/>
        </w:rPr>
      </w:pPr>
    </w:p>
    <w:p w14:paraId="35C84AAD" w14:textId="77777777" w:rsidR="008B2264" w:rsidRPr="005F258D" w:rsidRDefault="008B2264" w:rsidP="008B2264">
      <w:pPr>
        <w:spacing w:after="0" w:line="240" w:lineRule="auto"/>
        <w:jc w:val="center"/>
        <w:rPr>
          <w:rFonts w:ascii="Arial" w:eastAsia="Arial" w:hAnsi="Arial" w:cs="Arial"/>
          <w:b/>
          <w:bCs/>
          <w:color w:val="003300"/>
        </w:rPr>
      </w:pPr>
    </w:p>
    <w:p w14:paraId="7FF33CDD" w14:textId="44E616CB" w:rsidR="00350B72" w:rsidRPr="005F258D" w:rsidRDefault="008B2264" w:rsidP="008B2264">
      <w:pPr>
        <w:spacing w:after="0" w:line="240" w:lineRule="auto"/>
        <w:jc w:val="center"/>
        <w:rPr>
          <w:rFonts w:ascii="Arial" w:eastAsia="Arial" w:hAnsi="Arial" w:cs="Arial"/>
          <w:b/>
          <w:bCs/>
          <w:color w:val="003300"/>
        </w:rPr>
      </w:pPr>
      <w:r w:rsidRPr="005F258D">
        <w:rPr>
          <w:rFonts w:ascii="Arial" w:eastAsia="Arial" w:hAnsi="Arial" w:cs="Arial"/>
          <w:b/>
          <w:bCs/>
          <w:color w:val="003300"/>
        </w:rPr>
        <w:t>Medellín 2015</w:t>
      </w:r>
    </w:p>
    <w:p w14:paraId="4A0547EE" w14:textId="77777777" w:rsidR="00350B72" w:rsidRDefault="00350B72">
      <w:pPr>
        <w:rPr>
          <w:rFonts w:ascii="Arial" w:eastAsia="Arial" w:hAnsi="Arial" w:cs="Arial"/>
          <w:b/>
          <w:bCs/>
          <w:color w:val="385623"/>
        </w:rPr>
      </w:pPr>
      <w:r>
        <w:rPr>
          <w:rFonts w:ascii="Arial" w:eastAsia="Arial" w:hAnsi="Arial" w:cs="Arial"/>
          <w:b/>
          <w:bCs/>
          <w:color w:val="385623"/>
        </w:rPr>
        <w:lastRenderedPageBreak/>
        <w:br w:type="page"/>
      </w:r>
    </w:p>
    <w:sdt>
      <w:sdtPr>
        <w:rPr>
          <w:rFonts w:asciiTheme="minorHAnsi" w:eastAsiaTheme="minorHAnsi" w:hAnsiTheme="minorHAnsi" w:cstheme="minorBidi"/>
          <w:b w:val="0"/>
          <w:bCs w:val="0"/>
          <w:color w:val="auto"/>
          <w:sz w:val="22"/>
          <w:szCs w:val="22"/>
          <w:lang w:val="es-ES" w:eastAsia="en-US"/>
        </w:rPr>
        <w:id w:val="-995489548"/>
        <w:docPartObj>
          <w:docPartGallery w:val="Table of Contents"/>
          <w:docPartUnique/>
        </w:docPartObj>
      </w:sdtPr>
      <w:sdtEndPr/>
      <w:sdtContent>
        <w:p w14:paraId="626EEE2A" w14:textId="092FEF0A" w:rsidR="00350B72" w:rsidRPr="00350B72" w:rsidRDefault="00350B72" w:rsidP="00350B72">
          <w:pPr>
            <w:pStyle w:val="TtulodeTDC"/>
            <w:spacing w:line="360" w:lineRule="auto"/>
            <w:jc w:val="center"/>
            <w:rPr>
              <w:rFonts w:ascii="Arial" w:hAnsi="Arial" w:cs="Arial"/>
              <w:color w:val="auto"/>
              <w:sz w:val="22"/>
              <w:szCs w:val="22"/>
              <w:lang w:val="es-ES"/>
            </w:rPr>
          </w:pPr>
          <w:r w:rsidRPr="00350B72">
            <w:rPr>
              <w:rFonts w:ascii="Arial" w:hAnsi="Arial" w:cs="Arial"/>
              <w:color w:val="auto"/>
              <w:sz w:val="22"/>
              <w:szCs w:val="22"/>
              <w:lang w:val="es-ES"/>
            </w:rPr>
            <w:t>CONTENIDO</w:t>
          </w:r>
        </w:p>
        <w:p w14:paraId="7837DE65" w14:textId="77777777" w:rsidR="00350B72" w:rsidRPr="00350B72" w:rsidRDefault="00350B72" w:rsidP="00350B72">
          <w:pPr>
            <w:rPr>
              <w:lang w:val="es-ES" w:eastAsia="es-CO"/>
            </w:rPr>
          </w:pPr>
        </w:p>
        <w:p w14:paraId="0CC8F1AE" w14:textId="77777777" w:rsidR="00350B72" w:rsidRPr="00350B72" w:rsidRDefault="00350B72" w:rsidP="00350B72">
          <w:pPr>
            <w:pStyle w:val="TDC1"/>
            <w:tabs>
              <w:tab w:val="left" w:pos="440"/>
              <w:tab w:val="right" w:leader="dot" w:pos="8828"/>
            </w:tabs>
            <w:spacing w:line="360" w:lineRule="auto"/>
            <w:jc w:val="both"/>
            <w:rPr>
              <w:rFonts w:ascii="Arial" w:hAnsi="Arial" w:cs="Arial"/>
              <w:noProof/>
            </w:rPr>
          </w:pPr>
          <w:r w:rsidRPr="00350B72">
            <w:rPr>
              <w:rFonts w:ascii="Arial" w:hAnsi="Arial" w:cs="Arial"/>
            </w:rPr>
            <w:fldChar w:fldCharType="begin"/>
          </w:r>
          <w:r w:rsidRPr="00350B72">
            <w:rPr>
              <w:rFonts w:ascii="Arial" w:hAnsi="Arial" w:cs="Arial"/>
            </w:rPr>
            <w:instrText xml:space="preserve"> TOC \o "1-3" \h \z \u </w:instrText>
          </w:r>
          <w:r w:rsidRPr="00350B72">
            <w:rPr>
              <w:rFonts w:ascii="Arial" w:hAnsi="Arial" w:cs="Arial"/>
            </w:rPr>
            <w:fldChar w:fldCharType="separate"/>
          </w:r>
          <w:hyperlink w:anchor="_Toc427270527" w:history="1">
            <w:r w:rsidRPr="00350B72">
              <w:rPr>
                <w:rStyle w:val="Hipervnculo"/>
                <w:rFonts w:ascii="Arial" w:hAnsi="Arial" w:cs="Arial"/>
                <w:noProof/>
              </w:rPr>
              <w:t>1.</w:t>
            </w:r>
            <w:r w:rsidRPr="00350B72">
              <w:rPr>
                <w:rFonts w:ascii="Arial" w:hAnsi="Arial" w:cs="Arial"/>
                <w:noProof/>
              </w:rPr>
              <w:tab/>
            </w:r>
            <w:r w:rsidRPr="00350B72">
              <w:rPr>
                <w:rStyle w:val="Hipervnculo"/>
                <w:rFonts w:ascii="Arial" w:hAnsi="Arial" w:cs="Arial"/>
                <w:noProof/>
              </w:rPr>
              <w:t>PROBLEMA</w:t>
            </w:r>
            <w:r w:rsidRPr="00350B72">
              <w:rPr>
                <w:rFonts w:ascii="Arial" w:hAnsi="Arial" w:cs="Arial"/>
                <w:noProof/>
                <w:webHidden/>
              </w:rPr>
              <w:tab/>
            </w:r>
            <w:r w:rsidRPr="00350B72">
              <w:rPr>
                <w:rFonts w:ascii="Arial" w:hAnsi="Arial" w:cs="Arial"/>
                <w:noProof/>
                <w:webHidden/>
              </w:rPr>
              <w:fldChar w:fldCharType="begin"/>
            </w:r>
            <w:r w:rsidRPr="00350B72">
              <w:rPr>
                <w:rFonts w:ascii="Arial" w:hAnsi="Arial" w:cs="Arial"/>
                <w:noProof/>
                <w:webHidden/>
              </w:rPr>
              <w:instrText xml:space="preserve"> PAGEREF _Toc427270527 \h </w:instrText>
            </w:r>
            <w:r w:rsidRPr="00350B72">
              <w:rPr>
                <w:rFonts w:ascii="Arial" w:hAnsi="Arial" w:cs="Arial"/>
                <w:noProof/>
                <w:webHidden/>
              </w:rPr>
            </w:r>
            <w:r w:rsidRPr="00350B72">
              <w:rPr>
                <w:rFonts w:ascii="Arial" w:hAnsi="Arial" w:cs="Arial"/>
                <w:noProof/>
                <w:webHidden/>
              </w:rPr>
              <w:fldChar w:fldCharType="separate"/>
            </w:r>
            <w:r w:rsidR="003A5169">
              <w:rPr>
                <w:rFonts w:ascii="Arial" w:hAnsi="Arial" w:cs="Arial"/>
                <w:noProof/>
                <w:webHidden/>
              </w:rPr>
              <w:t>2</w:t>
            </w:r>
            <w:r w:rsidRPr="00350B72">
              <w:rPr>
                <w:rFonts w:ascii="Arial" w:hAnsi="Arial" w:cs="Arial"/>
                <w:noProof/>
                <w:webHidden/>
              </w:rPr>
              <w:fldChar w:fldCharType="end"/>
            </w:r>
          </w:hyperlink>
        </w:p>
        <w:p w14:paraId="13EC54D0"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28" w:history="1">
            <w:r w:rsidR="00350B72" w:rsidRPr="00350B72">
              <w:rPr>
                <w:rStyle w:val="Hipervnculo"/>
                <w:rFonts w:ascii="Arial" w:hAnsi="Arial" w:cs="Arial"/>
                <w:noProof/>
              </w:rPr>
              <w:t>2.</w:t>
            </w:r>
            <w:r w:rsidR="00350B72" w:rsidRPr="00350B72">
              <w:rPr>
                <w:rFonts w:ascii="Arial" w:hAnsi="Arial" w:cs="Arial"/>
                <w:noProof/>
              </w:rPr>
              <w:tab/>
            </w:r>
            <w:r w:rsidR="00350B72" w:rsidRPr="00350B72">
              <w:rPr>
                <w:rStyle w:val="Hipervnculo"/>
                <w:rFonts w:ascii="Arial" w:hAnsi="Arial" w:cs="Arial"/>
                <w:noProof/>
              </w:rPr>
              <w:t>RESPUESTAS TENTATIVAS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_Toc427270528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3</w:t>
            </w:r>
            <w:r w:rsidR="00350B72" w:rsidRPr="00350B72">
              <w:rPr>
                <w:rFonts w:ascii="Arial" w:hAnsi="Arial" w:cs="Arial"/>
                <w:noProof/>
                <w:webHidden/>
              </w:rPr>
              <w:fldChar w:fldCharType="end"/>
            </w:r>
          </w:hyperlink>
        </w:p>
        <w:p w14:paraId="6C7E76AB"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29" w:history="1">
            <w:r w:rsidR="00350B72" w:rsidRPr="00350B72">
              <w:rPr>
                <w:rStyle w:val="Hipervnculo"/>
                <w:rFonts w:ascii="Arial" w:hAnsi="Arial" w:cs="Arial"/>
                <w:noProof/>
              </w:rPr>
              <w:t>3.</w:t>
            </w:r>
            <w:r w:rsidR="00350B72" w:rsidRPr="00350B72">
              <w:rPr>
                <w:rFonts w:ascii="Arial" w:hAnsi="Arial" w:cs="Arial"/>
                <w:noProof/>
              </w:rPr>
              <w:tab/>
            </w:r>
            <w:r w:rsidR="00350B72" w:rsidRPr="00350B72">
              <w:rPr>
                <w:rStyle w:val="Hipervnculo"/>
                <w:rFonts w:ascii="Arial" w:hAnsi="Arial" w:cs="Arial"/>
                <w:noProof/>
              </w:rPr>
              <w:t>LAS VARIABLES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_Toc427270529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3</w:t>
            </w:r>
            <w:r w:rsidR="00350B72" w:rsidRPr="00350B72">
              <w:rPr>
                <w:rFonts w:ascii="Arial" w:hAnsi="Arial" w:cs="Arial"/>
                <w:noProof/>
                <w:webHidden/>
              </w:rPr>
              <w:fldChar w:fldCharType="end"/>
            </w:r>
          </w:hyperlink>
        </w:p>
        <w:p w14:paraId="4A9B666C"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0" w:history="1">
            <w:r w:rsidR="00350B72" w:rsidRPr="00350B72">
              <w:rPr>
                <w:rStyle w:val="Hipervnculo"/>
                <w:rFonts w:ascii="Arial" w:hAnsi="Arial" w:cs="Arial"/>
                <w:noProof/>
              </w:rPr>
              <w:t>4.</w:t>
            </w:r>
            <w:r w:rsidR="00350B72" w:rsidRPr="00350B72">
              <w:rPr>
                <w:rFonts w:ascii="Arial" w:hAnsi="Arial" w:cs="Arial"/>
                <w:noProof/>
              </w:rPr>
              <w:tab/>
            </w:r>
            <w:r w:rsidR="00350B72" w:rsidRPr="00350B72">
              <w:rPr>
                <w:rStyle w:val="Hipervnculo"/>
                <w:rFonts w:ascii="Arial" w:hAnsi="Arial" w:cs="Arial"/>
                <w:noProof/>
              </w:rPr>
              <w:t>LOS INSTRUMENTOS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_Toc427270530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5</w:t>
            </w:r>
            <w:r w:rsidR="00350B72" w:rsidRPr="00350B72">
              <w:rPr>
                <w:rFonts w:ascii="Arial" w:hAnsi="Arial" w:cs="Arial"/>
                <w:noProof/>
                <w:webHidden/>
              </w:rPr>
              <w:fldChar w:fldCharType="end"/>
            </w:r>
          </w:hyperlink>
        </w:p>
        <w:p w14:paraId="46B51114"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1" w:history="1">
            <w:r w:rsidR="00350B72" w:rsidRPr="00350B72">
              <w:rPr>
                <w:rStyle w:val="Hipervnculo"/>
                <w:rFonts w:ascii="Arial" w:eastAsia="Arial" w:hAnsi="Arial" w:cs="Arial"/>
                <w:noProof/>
              </w:rPr>
              <w:t>5.</w:t>
            </w:r>
            <w:r w:rsidR="00350B72" w:rsidRPr="00350B72">
              <w:rPr>
                <w:rFonts w:ascii="Arial" w:hAnsi="Arial" w:cs="Arial"/>
                <w:noProof/>
              </w:rPr>
              <w:tab/>
            </w:r>
            <w:r w:rsidR="00350B72" w:rsidRPr="00350B72">
              <w:rPr>
                <w:rStyle w:val="Hipervnculo"/>
                <w:rFonts w:ascii="Arial" w:eastAsia="Arial" w:hAnsi="Arial" w:cs="Arial"/>
                <w:noProof/>
              </w:rPr>
              <w:t>LAS FUENTES PRIMARIAS Y LAS FUENTES SECUNDARIAS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_Toc427270531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5</w:t>
            </w:r>
            <w:r w:rsidR="00350B72" w:rsidRPr="00350B72">
              <w:rPr>
                <w:rFonts w:ascii="Arial" w:hAnsi="Arial" w:cs="Arial"/>
                <w:noProof/>
                <w:webHidden/>
              </w:rPr>
              <w:fldChar w:fldCharType="end"/>
            </w:r>
          </w:hyperlink>
        </w:p>
        <w:p w14:paraId="2B5D0FEC"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2" w:history="1">
            <w:r w:rsidR="00350B72" w:rsidRPr="00350B72">
              <w:rPr>
                <w:rStyle w:val="Hipervnculo"/>
                <w:rFonts w:ascii="Arial" w:hAnsi="Arial" w:cs="Arial"/>
                <w:noProof/>
              </w:rPr>
              <w:t>6.</w:t>
            </w:r>
            <w:r w:rsidR="00350B72" w:rsidRPr="00350B72">
              <w:rPr>
                <w:rFonts w:ascii="Arial" w:hAnsi="Arial" w:cs="Arial"/>
                <w:noProof/>
              </w:rPr>
              <w:tab/>
            </w:r>
            <w:r w:rsidR="00350B72" w:rsidRPr="00350B72">
              <w:rPr>
                <w:rStyle w:val="Hipervnculo"/>
                <w:rFonts w:ascii="Arial" w:hAnsi="Arial" w:cs="Arial"/>
                <w:noProof/>
              </w:rPr>
              <w:t>NARRACIÓN DE LAS RUTAS SEGUIDA Y SUS DIFICULTADES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_Toc427270532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6</w:t>
            </w:r>
            <w:r w:rsidR="00350B72" w:rsidRPr="00350B72">
              <w:rPr>
                <w:rFonts w:ascii="Arial" w:hAnsi="Arial" w:cs="Arial"/>
                <w:noProof/>
                <w:webHidden/>
              </w:rPr>
              <w:fldChar w:fldCharType="end"/>
            </w:r>
          </w:hyperlink>
        </w:p>
        <w:p w14:paraId="2C389A8A"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3" w:history="1">
            <w:r w:rsidR="00350B72" w:rsidRPr="00350B72">
              <w:rPr>
                <w:rStyle w:val="Hipervnculo"/>
                <w:rFonts w:ascii="Arial" w:eastAsia="Arial" w:hAnsi="Arial" w:cs="Arial"/>
                <w:noProof/>
              </w:rPr>
              <w:t>7.</w:t>
            </w:r>
            <w:r w:rsidR="00350B72" w:rsidRPr="00350B72">
              <w:rPr>
                <w:rFonts w:ascii="Arial" w:hAnsi="Arial" w:cs="Arial"/>
                <w:noProof/>
              </w:rPr>
              <w:tab/>
            </w:r>
            <w:r w:rsidR="00350B72" w:rsidRPr="00350B72">
              <w:rPr>
                <w:rStyle w:val="Hipervnculo"/>
                <w:rFonts w:ascii="Arial" w:eastAsia="Arial" w:hAnsi="Arial" w:cs="Arial"/>
                <w:noProof/>
              </w:rPr>
              <w:t>LA LECTURA Y ESCRITURA</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_Toc427270533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7</w:t>
            </w:r>
            <w:r w:rsidR="00350B72" w:rsidRPr="00350B72">
              <w:rPr>
                <w:rFonts w:ascii="Arial" w:hAnsi="Arial" w:cs="Arial"/>
                <w:noProof/>
                <w:webHidden/>
              </w:rPr>
              <w:fldChar w:fldCharType="end"/>
            </w:r>
          </w:hyperlink>
        </w:p>
        <w:p w14:paraId="128D76C1"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4" w:history="1">
            <w:r w:rsidR="00350B72" w:rsidRPr="00350B72">
              <w:rPr>
                <w:rStyle w:val="Hipervnculo"/>
                <w:rFonts w:ascii="Arial" w:hAnsi="Arial" w:cs="Arial"/>
                <w:noProof/>
              </w:rPr>
              <w:t>8.</w:t>
            </w:r>
            <w:r w:rsidR="00350B72" w:rsidRPr="00350B72">
              <w:rPr>
                <w:rFonts w:ascii="Arial" w:hAnsi="Arial" w:cs="Arial"/>
                <w:noProof/>
              </w:rPr>
              <w:tab/>
            </w:r>
            <w:r w:rsidR="00350B72" w:rsidRPr="00350B72">
              <w:rPr>
                <w:rStyle w:val="Hipervnculo"/>
                <w:rFonts w:ascii="Arial" w:hAnsi="Arial" w:cs="Arial"/>
                <w:noProof/>
              </w:rPr>
              <w:t>ASESORES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_Toc427270534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7</w:t>
            </w:r>
            <w:r w:rsidR="00350B72" w:rsidRPr="00350B72">
              <w:rPr>
                <w:rFonts w:ascii="Arial" w:hAnsi="Arial" w:cs="Arial"/>
                <w:noProof/>
                <w:webHidden/>
              </w:rPr>
              <w:fldChar w:fldCharType="end"/>
            </w:r>
          </w:hyperlink>
        </w:p>
        <w:p w14:paraId="58117CB0" w14:textId="77777777" w:rsidR="00350B72" w:rsidRPr="00350B72" w:rsidRDefault="0013126C" w:rsidP="00350B72">
          <w:pPr>
            <w:pStyle w:val="TDC1"/>
            <w:tabs>
              <w:tab w:val="left" w:pos="440"/>
              <w:tab w:val="right" w:leader="dot" w:pos="8828"/>
            </w:tabs>
            <w:spacing w:line="360" w:lineRule="auto"/>
            <w:jc w:val="both"/>
            <w:rPr>
              <w:rFonts w:ascii="Arial" w:hAnsi="Arial" w:cs="Arial"/>
              <w:noProof/>
            </w:rPr>
          </w:pPr>
          <w:hyperlink w:anchor="_Toc427270535" w:history="1">
            <w:r w:rsidR="00350B72" w:rsidRPr="00350B72">
              <w:rPr>
                <w:rStyle w:val="Hipervnculo"/>
                <w:rFonts w:ascii="Arial" w:hAnsi="Arial" w:cs="Arial"/>
                <w:noProof/>
              </w:rPr>
              <w:t>9.</w:t>
            </w:r>
            <w:r w:rsidR="00350B72" w:rsidRPr="00350B72">
              <w:rPr>
                <w:rFonts w:ascii="Arial" w:hAnsi="Arial" w:cs="Arial"/>
                <w:noProof/>
              </w:rPr>
              <w:tab/>
            </w:r>
            <w:r w:rsidR="00350B72" w:rsidRPr="00350B72">
              <w:rPr>
                <w:rStyle w:val="Hipervnculo"/>
                <w:rFonts w:ascii="Arial" w:hAnsi="Arial" w:cs="Arial"/>
                <w:noProof/>
              </w:rPr>
              <w:t>LAS CONCLUSIONES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_Toc427270535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7</w:t>
            </w:r>
            <w:r w:rsidR="00350B72" w:rsidRPr="00350B72">
              <w:rPr>
                <w:rFonts w:ascii="Arial" w:hAnsi="Arial" w:cs="Arial"/>
                <w:noProof/>
                <w:webHidden/>
              </w:rPr>
              <w:fldChar w:fldCharType="end"/>
            </w:r>
          </w:hyperlink>
        </w:p>
        <w:p w14:paraId="31E95D15" w14:textId="77777777" w:rsidR="00350B72" w:rsidRPr="00350B72" w:rsidRDefault="0013126C" w:rsidP="00350B72">
          <w:pPr>
            <w:pStyle w:val="TDC1"/>
            <w:tabs>
              <w:tab w:val="left" w:pos="660"/>
              <w:tab w:val="right" w:leader="dot" w:pos="8828"/>
            </w:tabs>
            <w:spacing w:line="360" w:lineRule="auto"/>
            <w:jc w:val="both"/>
            <w:rPr>
              <w:rFonts w:ascii="Arial" w:hAnsi="Arial" w:cs="Arial"/>
              <w:noProof/>
            </w:rPr>
          </w:pPr>
          <w:hyperlink w:anchor="_Toc427270536" w:history="1">
            <w:r w:rsidR="00350B72" w:rsidRPr="00350B72">
              <w:rPr>
                <w:rStyle w:val="Hipervnculo"/>
                <w:rFonts w:ascii="Arial" w:hAnsi="Arial" w:cs="Arial"/>
                <w:noProof/>
              </w:rPr>
              <w:t>10.</w:t>
            </w:r>
            <w:r w:rsidR="00350B72" w:rsidRPr="00350B72">
              <w:rPr>
                <w:rFonts w:ascii="Arial" w:hAnsi="Arial" w:cs="Arial"/>
                <w:noProof/>
              </w:rPr>
              <w:tab/>
            </w:r>
            <w:r w:rsidR="00350B72" w:rsidRPr="00350B72">
              <w:rPr>
                <w:rStyle w:val="Hipervnculo"/>
                <w:rFonts w:ascii="Arial" w:hAnsi="Arial" w:cs="Arial"/>
                <w:noProof/>
              </w:rPr>
              <w:t>ANEXOS</w:t>
            </w:r>
            <w:r w:rsidR="00350B72" w:rsidRPr="00350B72">
              <w:rPr>
                <w:rFonts w:ascii="Arial" w:hAnsi="Arial" w:cs="Arial"/>
                <w:noProof/>
                <w:webHidden/>
              </w:rPr>
              <w:tab/>
            </w:r>
            <w:r w:rsidR="00350B72" w:rsidRPr="00350B72">
              <w:rPr>
                <w:rFonts w:ascii="Arial" w:hAnsi="Arial" w:cs="Arial"/>
                <w:noProof/>
                <w:webHidden/>
              </w:rPr>
              <w:fldChar w:fldCharType="begin"/>
            </w:r>
            <w:r w:rsidR="00350B72" w:rsidRPr="00350B72">
              <w:rPr>
                <w:rFonts w:ascii="Arial" w:hAnsi="Arial" w:cs="Arial"/>
                <w:noProof/>
                <w:webHidden/>
              </w:rPr>
              <w:instrText xml:space="preserve"> PAGEREF _Toc427270536 \h </w:instrText>
            </w:r>
            <w:r w:rsidR="00350B72" w:rsidRPr="00350B72">
              <w:rPr>
                <w:rFonts w:ascii="Arial" w:hAnsi="Arial" w:cs="Arial"/>
                <w:noProof/>
                <w:webHidden/>
              </w:rPr>
            </w:r>
            <w:r w:rsidR="00350B72" w:rsidRPr="00350B72">
              <w:rPr>
                <w:rFonts w:ascii="Arial" w:hAnsi="Arial" w:cs="Arial"/>
                <w:noProof/>
                <w:webHidden/>
              </w:rPr>
              <w:fldChar w:fldCharType="separate"/>
            </w:r>
            <w:r w:rsidR="003A5169">
              <w:rPr>
                <w:rFonts w:ascii="Arial" w:hAnsi="Arial" w:cs="Arial"/>
                <w:noProof/>
                <w:webHidden/>
              </w:rPr>
              <w:t>8</w:t>
            </w:r>
            <w:r w:rsidR="00350B72" w:rsidRPr="00350B72">
              <w:rPr>
                <w:rFonts w:ascii="Arial" w:hAnsi="Arial" w:cs="Arial"/>
                <w:noProof/>
                <w:webHidden/>
              </w:rPr>
              <w:fldChar w:fldCharType="end"/>
            </w:r>
          </w:hyperlink>
        </w:p>
        <w:p w14:paraId="54B3BADE" w14:textId="60A4ACBE" w:rsidR="00350B72" w:rsidRDefault="00350B72" w:rsidP="00350B72">
          <w:pPr>
            <w:spacing w:line="360" w:lineRule="auto"/>
            <w:jc w:val="both"/>
          </w:pPr>
          <w:r w:rsidRPr="00350B72">
            <w:rPr>
              <w:rFonts w:ascii="Arial" w:hAnsi="Arial" w:cs="Arial"/>
              <w:b/>
              <w:bCs/>
              <w:lang w:val="es-ES"/>
            </w:rPr>
            <w:fldChar w:fldCharType="end"/>
          </w:r>
        </w:p>
      </w:sdtContent>
    </w:sdt>
    <w:p w14:paraId="4789D2CE" w14:textId="5E1968D1" w:rsidR="00350B72" w:rsidRDefault="00350B72">
      <w:pPr>
        <w:rPr>
          <w:rFonts w:ascii="Arial" w:hAnsi="Arial" w:cs="Arial"/>
          <w:b/>
        </w:rPr>
      </w:pPr>
      <w:r>
        <w:rPr>
          <w:rFonts w:ascii="Arial" w:hAnsi="Arial" w:cs="Arial"/>
          <w:b/>
        </w:rPr>
        <w:br w:type="page"/>
      </w:r>
    </w:p>
    <w:p w14:paraId="018F6105" w14:textId="763AE6BE" w:rsidR="004162B2" w:rsidRPr="008B2264" w:rsidRDefault="00B4203E" w:rsidP="00E6652A">
      <w:pPr>
        <w:pStyle w:val="Ttulo1"/>
        <w:numPr>
          <w:ilvl w:val="0"/>
          <w:numId w:val="3"/>
        </w:numPr>
      </w:pPr>
      <w:bookmarkStart w:id="0" w:name="_Toc427270527"/>
      <w:r w:rsidRPr="008B2264">
        <w:lastRenderedPageBreak/>
        <w:t>PROBLEMA</w:t>
      </w:r>
      <w:bookmarkEnd w:id="0"/>
    </w:p>
    <w:p w14:paraId="69B07F61" w14:textId="77777777" w:rsidR="00E6652A" w:rsidRDefault="00E6652A" w:rsidP="004162B2">
      <w:pPr>
        <w:spacing w:line="360" w:lineRule="auto"/>
        <w:jc w:val="both"/>
        <w:rPr>
          <w:rFonts w:ascii="Arial" w:eastAsia="Helvetica" w:hAnsi="Arial" w:cs="Arial"/>
          <w:szCs w:val="24"/>
        </w:rPr>
      </w:pPr>
    </w:p>
    <w:p w14:paraId="41B65A52" w14:textId="77777777" w:rsidR="004162B2" w:rsidRPr="008B2264" w:rsidRDefault="004162B2" w:rsidP="004162B2">
      <w:pPr>
        <w:spacing w:line="360" w:lineRule="auto"/>
        <w:jc w:val="both"/>
        <w:rPr>
          <w:rFonts w:ascii="Arial" w:eastAsia="Arial" w:hAnsi="Arial" w:cs="Arial"/>
          <w:szCs w:val="24"/>
        </w:rPr>
      </w:pPr>
      <w:r w:rsidRPr="008B2264">
        <w:rPr>
          <w:rFonts w:ascii="Arial" w:eastAsia="Helvetica" w:hAnsi="Arial" w:cs="Arial"/>
          <w:szCs w:val="24"/>
        </w:rPr>
        <w:t>E</w:t>
      </w:r>
      <w:r w:rsidRPr="008B2264">
        <w:rPr>
          <w:rFonts w:ascii="Arial" w:eastAsia="Arial" w:hAnsi="Arial" w:cs="Arial"/>
          <w:szCs w:val="24"/>
        </w:rPr>
        <w:t>l proceso de convergencia hacia Normas Internacionales de Información Financiera (NIIF/NIC) ha generado un ambiente de posiciones encontradas dentro del gremio contable colombiano, dividiéndose principalmente entre la ambigüedad y el descontento de unos y la aceptación de otros, dicha bifurcación de posiciones nacidas por los cambios que genera la implementación dentro del proceso contable y sobre los distintos sistemas de información que se construyen a partir de ésta.</w:t>
      </w:r>
    </w:p>
    <w:p w14:paraId="06AD6703" w14:textId="77777777" w:rsidR="004162B2" w:rsidRPr="008B2264" w:rsidRDefault="004162B2" w:rsidP="004162B2">
      <w:pPr>
        <w:spacing w:line="360" w:lineRule="auto"/>
        <w:jc w:val="both"/>
        <w:rPr>
          <w:rFonts w:ascii="Arial" w:eastAsia="Arial" w:hAnsi="Arial" w:cs="Arial"/>
          <w:szCs w:val="24"/>
        </w:rPr>
      </w:pPr>
      <w:r w:rsidRPr="008B2264">
        <w:rPr>
          <w:rFonts w:ascii="Arial" w:eastAsia="Arial" w:hAnsi="Arial" w:cs="Arial"/>
          <w:szCs w:val="24"/>
        </w:rPr>
        <w:t xml:space="preserve">Se genera una fuerte discusión sobre la relación existente entre el sistema tributario y el sistema contable, encontrando posiciones que consideran la separación del ambos sistemas, hasta posiciones que afirman que el sistema contable debe complementar el sistema tributario y viceversa, reconociendo el impacto recíproco que existen entre ellos, puesto que implica cambios en las políticas de las empresas para la medición, valuación y/o reconocimiento de hechos económicos, evidenciando que con la convergencia hacia NIIF/NIC no sólo se impactaría la información contable y los diferentes métodos para llegar a ella, sino que también influirá en </w:t>
      </w:r>
      <w:r w:rsidR="00B4203E" w:rsidRPr="008B2264">
        <w:rPr>
          <w:rFonts w:ascii="Arial" w:eastAsia="Arial" w:hAnsi="Arial" w:cs="Arial"/>
          <w:szCs w:val="24"/>
        </w:rPr>
        <w:t>la</w:t>
      </w:r>
      <w:r w:rsidRPr="008B2264">
        <w:rPr>
          <w:rFonts w:ascii="Arial" w:eastAsia="Arial" w:hAnsi="Arial" w:cs="Arial"/>
          <w:szCs w:val="24"/>
        </w:rPr>
        <w:t xml:space="preserve"> renta líquida con la utilidad antes de impuestos, por el hecho de que ésta tiene como principal insumo la información arrojada por la contabilidad.</w:t>
      </w:r>
    </w:p>
    <w:p w14:paraId="437D986B" w14:textId="77777777" w:rsidR="004162B2" w:rsidRPr="008B2264" w:rsidRDefault="004162B2" w:rsidP="004162B2">
      <w:pPr>
        <w:spacing w:line="360" w:lineRule="auto"/>
        <w:jc w:val="both"/>
        <w:rPr>
          <w:rFonts w:ascii="Arial" w:eastAsia="Arial" w:hAnsi="Arial" w:cs="Arial"/>
          <w:szCs w:val="24"/>
        </w:rPr>
      </w:pPr>
      <w:r w:rsidRPr="008B2264">
        <w:rPr>
          <w:rFonts w:ascii="Arial" w:eastAsia="Arial" w:hAnsi="Arial" w:cs="Arial"/>
          <w:szCs w:val="24"/>
        </w:rPr>
        <w:t>Al ser el sistema tributario la fuente por la cual el Estado Colombiano consigue los recursos, para que éstos no se vean afectados por las normas internacionales de contabilidad el Congreso de la República a través del artículo 165 de la Ley 1607 del 2012 decidió que para efectos fiscales las empresas tendrán que aplicar la contabilidad en concordancia al decreto 2649 durante los 4 años posteriores a la aplicación de las NIIF/NIC, tiempo en el cual se realizarán los estudios pertinentes para medir los impactos tributarios y proponer la adopción de disposiciones legislativas.</w:t>
      </w:r>
    </w:p>
    <w:p w14:paraId="45191ECA" w14:textId="77777777" w:rsidR="004162B2" w:rsidRPr="008B2264" w:rsidRDefault="004162B2" w:rsidP="004162B2">
      <w:pPr>
        <w:spacing w:line="360" w:lineRule="auto"/>
        <w:jc w:val="both"/>
        <w:rPr>
          <w:rFonts w:ascii="Arial" w:eastAsia="Arial" w:hAnsi="Arial" w:cs="Arial"/>
          <w:szCs w:val="24"/>
        </w:rPr>
      </w:pPr>
      <w:r w:rsidRPr="008B2264">
        <w:rPr>
          <w:rFonts w:ascii="Arial" w:eastAsia="Arial" w:hAnsi="Arial" w:cs="Arial"/>
          <w:szCs w:val="24"/>
        </w:rPr>
        <w:t xml:space="preserve"> Ante dicha incertidumbre y una alta posibilidad de migración hacia Normas Internacionales de Información Financiera para efectos fiscales, las finanzas de las empresas pueden verse fuertemente perjudicadas o en el menos probable de los casos beneficiadas, es por eso que las empresas deben iniciar estudios que les permitan adaptarse a posibles cambios de forma que sus recursos no se vean afectados fuertemente, ni tengan que hacer cambios grandes en sus políticas contables repentinamente, en otras palabras deben elaborar un adecuado proceso de planeación </w:t>
      </w:r>
      <w:r w:rsidRPr="008B2264">
        <w:rPr>
          <w:rFonts w:ascii="Arial" w:eastAsia="Arial" w:hAnsi="Arial" w:cs="Arial"/>
          <w:szCs w:val="24"/>
        </w:rPr>
        <w:lastRenderedPageBreak/>
        <w:t xml:space="preserve">tributaria con relación al futuro del sistema tributario con la convergencia a Normas Internacionales de Información Financiera. </w:t>
      </w:r>
    </w:p>
    <w:p w14:paraId="10C06B48" w14:textId="77777777" w:rsidR="00E6652A" w:rsidRDefault="00E6652A" w:rsidP="0085553F">
      <w:pPr>
        <w:spacing w:line="360" w:lineRule="auto"/>
        <w:jc w:val="center"/>
        <w:rPr>
          <w:rFonts w:ascii="Arial" w:hAnsi="Arial" w:cs="Arial"/>
          <w:b/>
          <w:sz w:val="24"/>
        </w:rPr>
      </w:pPr>
    </w:p>
    <w:p w14:paraId="3652EEC9" w14:textId="4E7F6F40" w:rsidR="004162B2" w:rsidRDefault="00B4203E" w:rsidP="00E6652A">
      <w:pPr>
        <w:pStyle w:val="Ttulo1"/>
        <w:numPr>
          <w:ilvl w:val="0"/>
          <w:numId w:val="3"/>
        </w:numPr>
      </w:pPr>
      <w:bookmarkStart w:id="1" w:name="_Toc427270528"/>
      <w:r w:rsidRPr="008B2264">
        <w:t>RESPUESTAS TENTATIVAS</w:t>
      </w:r>
      <w:bookmarkEnd w:id="1"/>
    </w:p>
    <w:p w14:paraId="09DBB87B" w14:textId="77777777" w:rsidR="00E6652A" w:rsidRPr="00E6652A" w:rsidRDefault="00E6652A" w:rsidP="00E6652A">
      <w:pPr>
        <w:rPr>
          <w:lang w:eastAsia="es-CO"/>
        </w:rPr>
      </w:pPr>
    </w:p>
    <w:p w14:paraId="2FFFA334" w14:textId="77777777" w:rsidR="0085553F" w:rsidRPr="008B2264" w:rsidRDefault="0085553F" w:rsidP="0085553F">
      <w:pPr>
        <w:spacing w:line="360" w:lineRule="auto"/>
        <w:jc w:val="both"/>
        <w:rPr>
          <w:rFonts w:ascii="Arial" w:eastAsia="Arial" w:hAnsi="Arial" w:cs="Arial"/>
        </w:rPr>
      </w:pPr>
      <w:r w:rsidRPr="008B2264">
        <w:rPr>
          <w:rFonts w:ascii="Arial" w:eastAsia="Arial" w:hAnsi="Arial" w:cs="Arial"/>
        </w:rPr>
        <w:t>S</w:t>
      </w:r>
      <w:r w:rsidR="004162B2" w:rsidRPr="008B2264">
        <w:rPr>
          <w:rFonts w:ascii="Arial" w:eastAsia="Arial" w:hAnsi="Arial" w:cs="Arial"/>
        </w:rPr>
        <w:t>on muchos los impactos en el ámbito financiero, contable e impositivo que trae consigo el cambio de normatividad. En el ámbito impositivo el sistema tributario colombiano se seguirá rigiendo bajo las antiguas norma de contabilidad contempladas en el Decreto 2649 de 1993 al menos durante los siguientes 4 años</w:t>
      </w:r>
      <w:r w:rsidRPr="008B2264">
        <w:rPr>
          <w:rFonts w:ascii="Arial" w:eastAsia="Arial" w:hAnsi="Arial" w:cs="Arial"/>
        </w:rPr>
        <w:t>,</w:t>
      </w:r>
      <w:r w:rsidR="004162B2" w:rsidRPr="008B2264">
        <w:rPr>
          <w:rFonts w:ascii="Arial" w:eastAsia="Arial" w:hAnsi="Arial" w:cs="Arial"/>
        </w:rPr>
        <w:t xml:space="preserve"> luego de la aplicación de las NIIF, las diferencias existentes entre lo contable y lo fiscal se transforma</w:t>
      </w:r>
      <w:r w:rsidRPr="008B2264">
        <w:rPr>
          <w:rFonts w:ascii="Arial" w:eastAsia="Arial" w:hAnsi="Arial" w:cs="Arial"/>
        </w:rPr>
        <w:t>ran en muchos casos en impuesto</w:t>
      </w:r>
      <w:r w:rsidR="004162B2" w:rsidRPr="008B2264">
        <w:rPr>
          <w:rFonts w:ascii="Arial" w:eastAsia="Arial" w:hAnsi="Arial" w:cs="Arial"/>
        </w:rPr>
        <w:t xml:space="preserve"> diferido, generando impactos en el área financiera de </w:t>
      </w:r>
      <w:r w:rsidRPr="008B2264">
        <w:rPr>
          <w:rFonts w:ascii="Arial" w:eastAsia="Arial" w:hAnsi="Arial" w:cs="Arial"/>
        </w:rPr>
        <w:t xml:space="preserve">las empresas. </w:t>
      </w:r>
      <w:r w:rsidRPr="008B2264">
        <w:rPr>
          <w:rFonts w:ascii="Arial" w:eastAsia="Arial" w:hAnsi="Arial" w:cs="Arial"/>
          <w:lang w:val="es-MX"/>
        </w:rPr>
        <w:t>La implementación de las NIIF ampliará la brecha entre la información contable y fiscal pues hay diferencias en la valoración de los activos, pasivos y patrimonio, reconocimiento de ingresos y por el surgimiento de nuevos conceptos de gastos, generando así un mayor impuesto diferido en las empresas comercializadoras de Medellín.</w:t>
      </w:r>
    </w:p>
    <w:p w14:paraId="2A9733BB" w14:textId="77777777" w:rsidR="004162B2" w:rsidRPr="008B2264" w:rsidRDefault="004162B2" w:rsidP="004162B2">
      <w:pPr>
        <w:spacing w:line="360" w:lineRule="auto"/>
        <w:rPr>
          <w:rFonts w:ascii="Arial" w:eastAsia="Arial" w:hAnsi="Arial" w:cs="Arial"/>
        </w:rPr>
      </w:pPr>
    </w:p>
    <w:p w14:paraId="553AC203" w14:textId="6202EE37" w:rsidR="004162B2" w:rsidRPr="00E6652A" w:rsidRDefault="00B4203E" w:rsidP="00E6652A">
      <w:pPr>
        <w:pStyle w:val="Ttulo1"/>
        <w:numPr>
          <w:ilvl w:val="0"/>
          <w:numId w:val="3"/>
        </w:numPr>
      </w:pPr>
      <w:bookmarkStart w:id="2" w:name="_Toc427270529"/>
      <w:r w:rsidRPr="00E6652A">
        <w:t>LAS VARIABLES</w:t>
      </w:r>
      <w:bookmarkEnd w:id="2"/>
    </w:p>
    <w:p w14:paraId="5A775B2F" w14:textId="77777777" w:rsidR="00B4203E" w:rsidRPr="008B2264" w:rsidRDefault="00B4203E" w:rsidP="00B4203E">
      <w:pPr>
        <w:spacing w:line="360" w:lineRule="auto"/>
        <w:jc w:val="center"/>
        <w:rPr>
          <w:rFonts w:ascii="Arial" w:hAnsi="Arial" w:cs="Arial"/>
          <w:b/>
          <w:sz w:val="24"/>
        </w:rPr>
      </w:pPr>
    </w:p>
    <w:p w14:paraId="3ABCD5BA" w14:textId="77777777" w:rsidR="00B4203E" w:rsidRPr="008B2264" w:rsidRDefault="00B4203E" w:rsidP="00B4203E">
      <w:pPr>
        <w:spacing w:line="360" w:lineRule="auto"/>
        <w:rPr>
          <w:rFonts w:ascii="Arial" w:eastAsia="Arial" w:hAnsi="Arial" w:cs="Arial"/>
          <w:b/>
        </w:rPr>
      </w:pPr>
      <w:r w:rsidRPr="008B2264">
        <w:rPr>
          <w:rFonts w:ascii="Arial" w:eastAsia="Arial" w:hAnsi="Arial" w:cs="Arial"/>
          <w:b/>
        </w:rPr>
        <w:t>Ingresos</w:t>
      </w:r>
    </w:p>
    <w:p w14:paraId="02CBCB01" w14:textId="77777777" w:rsidR="00B4203E" w:rsidRPr="008B2264" w:rsidRDefault="00B4203E" w:rsidP="00B4203E">
      <w:pPr>
        <w:spacing w:line="360" w:lineRule="auto"/>
        <w:jc w:val="both"/>
        <w:rPr>
          <w:rFonts w:ascii="Arial" w:eastAsia="Arial" w:hAnsi="Arial" w:cs="Arial"/>
          <w:noProof/>
        </w:rPr>
      </w:pPr>
      <w:r w:rsidRPr="008B2264">
        <w:rPr>
          <w:rFonts w:ascii="Arial" w:hAnsi="Arial" w:cs="Arial"/>
          <w:b/>
        </w:rPr>
        <w:t xml:space="preserve">Definición: </w:t>
      </w:r>
      <w:r w:rsidRPr="008B2264">
        <w:rPr>
          <w:rFonts w:ascii="Arial" w:eastAsia="Arial" w:hAnsi="Arial" w:cs="Arial"/>
        </w:rPr>
        <w:t xml:space="preserve">Flujos de entrada de recursos, en forma de incrementos del activo o disminuciones del pasivo o una combinación de ambos, que generan incrementos en el patrimonio, devengados por la venta de bienes, por la prestación de servicios o por la ejecución de otras actividades realizadas durante un período, que no provienen de los aportes de capital </w:t>
      </w:r>
      <w:r w:rsidRPr="008B2264">
        <w:rPr>
          <w:rFonts w:ascii="Arial" w:eastAsia="Arial" w:hAnsi="Arial" w:cs="Arial"/>
          <w:noProof/>
        </w:rPr>
        <w:t>(Decreto 2649 de 1993, Art. 38)</w:t>
      </w:r>
    </w:p>
    <w:p w14:paraId="7AAD21C6" w14:textId="3C1EF160" w:rsidR="00B4203E" w:rsidRPr="008B2264" w:rsidRDefault="00B4203E" w:rsidP="00B4203E">
      <w:pPr>
        <w:jc w:val="both"/>
        <w:rPr>
          <w:rFonts w:ascii="Arial" w:hAnsi="Arial" w:cs="Arial"/>
        </w:rPr>
      </w:pPr>
      <w:r w:rsidRPr="008B2264">
        <w:rPr>
          <w:rFonts w:ascii="Arial" w:hAnsi="Arial" w:cs="Arial"/>
          <w:b/>
        </w:rPr>
        <w:t xml:space="preserve">Forma de medición: </w:t>
      </w:r>
      <w:r w:rsidRPr="008B2264">
        <w:rPr>
          <w:rFonts w:ascii="Arial" w:eastAsia="Arial" w:hAnsi="Arial" w:cs="Arial"/>
        </w:rPr>
        <w:t xml:space="preserve">Variación de los ingresos bajo normatividad colombiana (Ic) con relación a las Normas Internacionales de Información </w:t>
      </w:r>
      <w:r w:rsidR="007D153E" w:rsidRPr="008B2264">
        <w:rPr>
          <w:rFonts w:ascii="Arial" w:eastAsia="Arial" w:hAnsi="Arial" w:cs="Arial"/>
        </w:rPr>
        <w:t>Financiera (</w:t>
      </w:r>
      <w:r w:rsidRPr="008B2264">
        <w:rPr>
          <w:rFonts w:ascii="Arial" w:eastAsia="Arial" w:hAnsi="Arial" w:cs="Arial"/>
        </w:rPr>
        <w:t>Iniif)</w:t>
      </w:r>
    </w:p>
    <w:p w14:paraId="2A32F108" w14:textId="7BC746B1" w:rsidR="00B4203E" w:rsidRPr="008B2264" w:rsidRDefault="00B4203E" w:rsidP="00B4203E">
      <w:pPr>
        <w:jc w:val="both"/>
        <w:rPr>
          <w:rFonts w:ascii="Arial" w:eastAsia="Arial" w:hAnsi="Arial" w:cs="Arial"/>
        </w:rPr>
      </w:pPr>
      <w:r w:rsidRPr="008B2264">
        <w:rPr>
          <w:rFonts w:ascii="Arial" w:eastAsia="Arial" w:hAnsi="Arial" w:cs="Arial"/>
        </w:rPr>
        <w:t xml:space="preserve">Indicador: </w:t>
      </w:r>
      <m:oMath>
        <m:f>
          <m:fPr>
            <m:ctrlPr>
              <w:rPr>
                <w:rFonts w:ascii="Cambria Math" w:eastAsia="Arial" w:hAnsi="Cambria Math" w:cs="Arial"/>
                <w:i/>
                <w:sz w:val="36"/>
              </w:rPr>
            </m:ctrlPr>
          </m:fPr>
          <m:num>
            <m:r>
              <w:rPr>
                <w:rFonts w:ascii="Cambria Math" w:eastAsia="Arial" w:hAnsi="Cambria Math" w:cs="Arial"/>
                <w:sz w:val="36"/>
              </w:rPr>
              <m:t>Iniif-Ic</m:t>
            </m:r>
          </m:num>
          <m:den>
            <m:r>
              <w:rPr>
                <w:rFonts w:ascii="Cambria Math" w:eastAsia="Arial" w:hAnsi="Cambria Math" w:cs="Arial"/>
                <w:sz w:val="36"/>
              </w:rPr>
              <m:t>Ic</m:t>
            </m:r>
          </m:den>
        </m:f>
      </m:oMath>
      <w:r w:rsidRPr="008B2264">
        <w:rPr>
          <w:rFonts w:ascii="Arial" w:eastAsia="Arial" w:hAnsi="Arial" w:cs="Arial"/>
        </w:rPr>
        <w:t xml:space="preserve"> </w:t>
      </w:r>
    </w:p>
    <w:p w14:paraId="7846CD6F" w14:textId="77777777" w:rsidR="00B4203E" w:rsidRPr="008B2264" w:rsidRDefault="00B4203E" w:rsidP="00B4203E">
      <w:pPr>
        <w:jc w:val="both"/>
        <w:rPr>
          <w:rFonts w:ascii="Arial" w:eastAsia="Arial" w:hAnsi="Arial" w:cs="Arial"/>
        </w:rPr>
      </w:pPr>
    </w:p>
    <w:p w14:paraId="228A7275" w14:textId="77777777" w:rsidR="00B4203E" w:rsidRPr="008B2264" w:rsidRDefault="00B4203E" w:rsidP="004162B2">
      <w:pPr>
        <w:spacing w:line="360" w:lineRule="auto"/>
        <w:rPr>
          <w:rFonts w:ascii="Arial" w:eastAsia="Arial" w:hAnsi="Arial" w:cs="Arial"/>
          <w:b/>
        </w:rPr>
      </w:pPr>
      <w:r w:rsidRPr="008B2264">
        <w:rPr>
          <w:rFonts w:ascii="Arial" w:eastAsia="Arial" w:hAnsi="Arial" w:cs="Arial"/>
          <w:b/>
        </w:rPr>
        <w:lastRenderedPageBreak/>
        <w:t>Gastos</w:t>
      </w:r>
    </w:p>
    <w:p w14:paraId="12F99F02" w14:textId="77777777" w:rsidR="00B4203E" w:rsidRPr="008B2264" w:rsidRDefault="00B4203E" w:rsidP="006B3ACA">
      <w:pPr>
        <w:spacing w:line="360" w:lineRule="auto"/>
        <w:jc w:val="both"/>
        <w:rPr>
          <w:rFonts w:ascii="Arial" w:eastAsia="Arial" w:hAnsi="Arial" w:cs="Arial"/>
          <w:noProof/>
          <w:color w:val="111111"/>
        </w:rPr>
      </w:pPr>
      <w:r w:rsidRPr="008B2264">
        <w:rPr>
          <w:rFonts w:ascii="Arial" w:hAnsi="Arial" w:cs="Arial"/>
          <w:b/>
        </w:rPr>
        <w:t xml:space="preserve">Definición: </w:t>
      </w:r>
      <w:r w:rsidRPr="008B2264">
        <w:rPr>
          <w:rFonts w:ascii="Arial" w:eastAsia="Arial" w:hAnsi="Arial" w:cs="Arial"/>
          <w:color w:val="111111"/>
        </w:rPr>
        <w:t xml:space="preserve">Los gastos representan flujos de salida de recursos, en forma de disminuciones del activo o incrementos del pasivo o una combinación de ambos, que generan disminuciones del patrimonio, incurridos en las actividades de administración, comercialización, investigación y financiación, realizadas durante un período, que no provienen de los retiros de capital o de utilidades o excedentes </w:t>
      </w:r>
      <w:r w:rsidRPr="008B2264">
        <w:rPr>
          <w:rFonts w:ascii="Arial" w:eastAsia="Arial" w:hAnsi="Arial" w:cs="Arial"/>
          <w:noProof/>
          <w:color w:val="111111"/>
        </w:rPr>
        <w:t>(Decreto 2649 de 1993, Art. 40)</w:t>
      </w:r>
    </w:p>
    <w:p w14:paraId="7C9AD5AD" w14:textId="77777777" w:rsidR="00B4203E" w:rsidRPr="008B2264" w:rsidRDefault="00B4203E" w:rsidP="006B3ACA">
      <w:pPr>
        <w:jc w:val="both"/>
        <w:rPr>
          <w:rFonts w:ascii="Arial" w:hAnsi="Arial" w:cs="Arial"/>
        </w:rPr>
      </w:pPr>
      <w:r w:rsidRPr="008B2264">
        <w:rPr>
          <w:rFonts w:ascii="Arial" w:hAnsi="Arial" w:cs="Arial"/>
          <w:b/>
        </w:rPr>
        <w:t xml:space="preserve">Forma de medición: </w:t>
      </w:r>
      <w:r w:rsidRPr="008B2264">
        <w:rPr>
          <w:rFonts w:ascii="Arial" w:eastAsia="Arial" w:hAnsi="Arial" w:cs="Arial"/>
        </w:rPr>
        <w:t>Variación de los gastos bajo normatividad colombiana (Gc) con relación a las Normas Internacionales de Información Financiera (Gniif)</w:t>
      </w:r>
    </w:p>
    <w:p w14:paraId="45DC00DE" w14:textId="77777777" w:rsidR="00B4203E" w:rsidRPr="008B2264" w:rsidRDefault="00B4203E" w:rsidP="00B4203E">
      <w:pPr>
        <w:jc w:val="both"/>
        <w:rPr>
          <w:rFonts w:ascii="Arial" w:hAnsi="Arial" w:cs="Arial"/>
        </w:rPr>
      </w:pPr>
    </w:p>
    <w:p w14:paraId="79155FB4" w14:textId="77777777" w:rsidR="00B4203E" w:rsidRPr="008B2264" w:rsidRDefault="00B4203E" w:rsidP="00B4203E">
      <w:pPr>
        <w:spacing w:line="360" w:lineRule="auto"/>
        <w:rPr>
          <w:rFonts w:ascii="Arial" w:eastAsia="Arial" w:hAnsi="Arial" w:cs="Arial"/>
          <w:sz w:val="36"/>
        </w:rPr>
      </w:pPr>
      <w:r w:rsidRPr="008B2264">
        <w:rPr>
          <w:rFonts w:ascii="Arial" w:eastAsia="Arial" w:hAnsi="Arial" w:cs="Arial"/>
        </w:rPr>
        <w:t xml:space="preserve">Indicador: </w:t>
      </w:r>
      <m:oMath>
        <m:f>
          <m:fPr>
            <m:ctrlPr>
              <w:rPr>
                <w:rFonts w:ascii="Cambria Math" w:eastAsia="Arial" w:hAnsi="Cambria Math" w:cs="Arial"/>
                <w:i/>
                <w:sz w:val="36"/>
              </w:rPr>
            </m:ctrlPr>
          </m:fPr>
          <m:num>
            <m:r>
              <w:rPr>
                <w:rFonts w:ascii="Cambria Math" w:eastAsia="Arial" w:hAnsi="Cambria Math" w:cs="Arial"/>
                <w:sz w:val="36"/>
              </w:rPr>
              <m:t>Gniif-Gc</m:t>
            </m:r>
          </m:num>
          <m:den>
            <m:r>
              <w:rPr>
                <w:rFonts w:ascii="Cambria Math" w:eastAsia="Arial" w:hAnsi="Cambria Math" w:cs="Arial"/>
                <w:sz w:val="36"/>
              </w:rPr>
              <m:t>Gc</m:t>
            </m:r>
          </m:den>
        </m:f>
      </m:oMath>
    </w:p>
    <w:p w14:paraId="546F3809" w14:textId="77777777" w:rsidR="00B4203E" w:rsidRPr="008B2264" w:rsidRDefault="00B4203E" w:rsidP="00B4203E">
      <w:pPr>
        <w:spacing w:line="360" w:lineRule="auto"/>
        <w:rPr>
          <w:rFonts w:ascii="Arial" w:eastAsia="Arial" w:hAnsi="Arial" w:cs="Arial"/>
        </w:rPr>
      </w:pPr>
    </w:p>
    <w:p w14:paraId="5AA4E2C6" w14:textId="77777777" w:rsidR="00B4203E" w:rsidRPr="008B2264" w:rsidRDefault="00B4203E" w:rsidP="00B4203E">
      <w:pPr>
        <w:spacing w:line="360" w:lineRule="auto"/>
        <w:rPr>
          <w:rFonts w:ascii="Arial" w:eastAsia="Arial" w:hAnsi="Arial" w:cs="Arial"/>
        </w:rPr>
      </w:pPr>
    </w:p>
    <w:p w14:paraId="1FBDF8BC" w14:textId="77777777" w:rsidR="00B4203E" w:rsidRPr="008B2264" w:rsidRDefault="00B4203E" w:rsidP="00B4203E">
      <w:pPr>
        <w:spacing w:line="360" w:lineRule="auto"/>
        <w:rPr>
          <w:rFonts w:ascii="Arial" w:eastAsia="Arial" w:hAnsi="Arial" w:cs="Arial"/>
          <w:b/>
        </w:rPr>
      </w:pPr>
      <w:r w:rsidRPr="008B2264">
        <w:rPr>
          <w:rFonts w:ascii="Arial" w:eastAsia="Arial" w:hAnsi="Arial" w:cs="Arial"/>
          <w:b/>
        </w:rPr>
        <w:t>Deterioro del valor</w:t>
      </w:r>
    </w:p>
    <w:p w14:paraId="0E95C95D" w14:textId="77777777" w:rsidR="00B4203E" w:rsidRPr="008B2264" w:rsidRDefault="00B4203E" w:rsidP="00B4203E">
      <w:pPr>
        <w:spacing w:line="360" w:lineRule="auto"/>
        <w:rPr>
          <w:rFonts w:ascii="Arial" w:eastAsia="Arial" w:hAnsi="Arial" w:cs="Arial"/>
        </w:rPr>
      </w:pPr>
      <w:r w:rsidRPr="008B2264">
        <w:rPr>
          <w:rFonts w:ascii="Arial" w:hAnsi="Arial" w:cs="Arial"/>
          <w:b/>
        </w:rPr>
        <w:t xml:space="preserve">Definición: </w:t>
      </w:r>
      <w:r w:rsidRPr="008B2264">
        <w:rPr>
          <w:rFonts w:ascii="Arial" w:eastAsia="Arial" w:hAnsi="Arial" w:cs="Arial"/>
        </w:rPr>
        <w:t>Cantidad en que excede el importe en libros de un activo a su importe recuperable, es decir, el mayor entre el valor de uso y el valor razonable menos los costos de venta</w:t>
      </w:r>
    </w:p>
    <w:p w14:paraId="60603EC2" w14:textId="77777777" w:rsidR="00B4203E" w:rsidRPr="008B2264" w:rsidRDefault="00B4203E" w:rsidP="00B4203E">
      <w:pPr>
        <w:jc w:val="both"/>
        <w:rPr>
          <w:rFonts w:ascii="Arial" w:hAnsi="Arial" w:cs="Arial"/>
        </w:rPr>
      </w:pPr>
      <w:r w:rsidRPr="008B2264">
        <w:rPr>
          <w:rFonts w:ascii="Arial" w:eastAsia="Arial" w:hAnsi="Arial" w:cs="Arial"/>
        </w:rPr>
        <w:t>Indicador= Valor en libros - importe recuperable</w:t>
      </w:r>
    </w:p>
    <w:p w14:paraId="35FFE7E8" w14:textId="3415F465" w:rsidR="00B4203E" w:rsidRPr="008B2264" w:rsidRDefault="00B4203E" w:rsidP="00B4203E">
      <w:pPr>
        <w:spacing w:line="360" w:lineRule="auto"/>
        <w:rPr>
          <w:rFonts w:ascii="Arial" w:eastAsia="Arial" w:hAnsi="Arial" w:cs="Arial"/>
          <w:sz w:val="36"/>
        </w:rPr>
      </w:pPr>
      <w:r w:rsidRPr="008B2264">
        <w:rPr>
          <w:rFonts w:ascii="Arial" w:hAnsi="Arial" w:cs="Arial"/>
          <w:b/>
        </w:rPr>
        <w:t>Forma de medición</w:t>
      </w:r>
      <w:r w:rsidRPr="008B2264">
        <w:rPr>
          <w:rFonts w:ascii="Arial" w:eastAsia="Arial" w:hAnsi="Arial" w:cs="Arial"/>
        </w:rPr>
        <w:t>: Importe recuperable = mayor entre valor de uso y Valor razonable menos costos de ventas</w:t>
      </w:r>
    </w:p>
    <w:p w14:paraId="08F10CF1" w14:textId="36915C0E" w:rsidR="00E6652A" w:rsidRDefault="00E6652A">
      <w:pPr>
        <w:rPr>
          <w:rFonts w:ascii="Arial" w:hAnsi="Arial" w:cs="Arial"/>
          <w:sz w:val="28"/>
          <w:szCs w:val="24"/>
        </w:rPr>
      </w:pPr>
      <w:r>
        <w:rPr>
          <w:rFonts w:ascii="Arial" w:hAnsi="Arial" w:cs="Arial"/>
          <w:sz w:val="28"/>
          <w:szCs w:val="24"/>
        </w:rPr>
        <w:br w:type="page"/>
      </w:r>
    </w:p>
    <w:p w14:paraId="22506E4A" w14:textId="22843E6B" w:rsidR="004162B2" w:rsidRDefault="00375B3F" w:rsidP="00E6652A">
      <w:pPr>
        <w:pStyle w:val="Ttulo1"/>
        <w:numPr>
          <w:ilvl w:val="0"/>
          <w:numId w:val="3"/>
        </w:numPr>
      </w:pPr>
      <w:bookmarkStart w:id="3" w:name="_Toc427270530"/>
      <w:r w:rsidRPr="00E6652A">
        <w:lastRenderedPageBreak/>
        <w:t>LOS INSTRUMENTOS</w:t>
      </w:r>
      <w:bookmarkEnd w:id="3"/>
    </w:p>
    <w:p w14:paraId="465B45CB" w14:textId="77777777" w:rsidR="00E6652A" w:rsidRPr="00E6652A" w:rsidRDefault="00E6652A" w:rsidP="00E6652A">
      <w:pPr>
        <w:rPr>
          <w:lang w:eastAsia="es-CO"/>
        </w:rPr>
      </w:pPr>
    </w:p>
    <w:p w14:paraId="0D0BF375" w14:textId="2BDBC29E" w:rsidR="006B3ACA" w:rsidRPr="008B2264" w:rsidRDefault="6DDAAA3F" w:rsidP="00C926DC">
      <w:pPr>
        <w:spacing w:line="360" w:lineRule="auto"/>
        <w:jc w:val="both"/>
        <w:rPr>
          <w:rFonts w:ascii="Arial" w:hAnsi="Arial" w:cs="Arial"/>
          <w:szCs w:val="24"/>
        </w:rPr>
      </w:pPr>
      <w:r w:rsidRPr="008B2264">
        <w:rPr>
          <w:rFonts w:ascii="Arial" w:eastAsia="Arial" w:hAnsi="Arial" w:cs="Arial"/>
        </w:rPr>
        <w:t>Para la recolección de la información se utilizó la observación de los estados financieros de las empresas comercializadoras del grupo 1 de Medellín, mediante la cual se acercó a las partidas que tienen mayor repercusión en la utilidad antes de impuestos por la implementación de las NIC/NIIF y se crearon escenarios para el análisis de las repercusiones tributarias producto de la implementación de NIIF.</w:t>
      </w:r>
    </w:p>
    <w:p w14:paraId="21D0F31E" w14:textId="77777777" w:rsidR="004162B2" w:rsidRPr="008B2264" w:rsidRDefault="004162B2" w:rsidP="00375B3F">
      <w:pPr>
        <w:spacing w:line="360" w:lineRule="auto"/>
        <w:jc w:val="center"/>
        <w:rPr>
          <w:rFonts w:ascii="Arial" w:hAnsi="Arial" w:cs="Arial"/>
          <w:b/>
          <w:sz w:val="24"/>
        </w:rPr>
      </w:pPr>
    </w:p>
    <w:p w14:paraId="0E58D978" w14:textId="490DFB55" w:rsidR="004162B2" w:rsidRDefault="29EA6218" w:rsidP="00E6652A">
      <w:pPr>
        <w:pStyle w:val="Ttulo1"/>
        <w:numPr>
          <w:ilvl w:val="0"/>
          <w:numId w:val="3"/>
        </w:numPr>
        <w:rPr>
          <w:rFonts w:eastAsia="Arial"/>
        </w:rPr>
      </w:pPr>
      <w:bookmarkStart w:id="4" w:name="_Toc427270531"/>
      <w:r w:rsidRPr="008B2264">
        <w:rPr>
          <w:rFonts w:eastAsia="Arial"/>
        </w:rPr>
        <w:t>LAS FUENTES PRIMARIAS Y LAS FUENTES SECUNDARIAS</w:t>
      </w:r>
      <w:bookmarkEnd w:id="4"/>
    </w:p>
    <w:p w14:paraId="386FCEB6" w14:textId="77777777" w:rsidR="00E6652A" w:rsidRPr="00E6652A" w:rsidRDefault="00E6652A" w:rsidP="00E6652A">
      <w:pPr>
        <w:jc w:val="both"/>
        <w:rPr>
          <w:lang w:eastAsia="es-CO"/>
        </w:rPr>
      </w:pPr>
    </w:p>
    <w:p w14:paraId="6EB5C776" w14:textId="77777777" w:rsidR="00B4203E" w:rsidRPr="008B2264" w:rsidRDefault="008C01ED" w:rsidP="00E6652A">
      <w:pPr>
        <w:spacing w:line="360" w:lineRule="auto"/>
        <w:jc w:val="both"/>
        <w:rPr>
          <w:rFonts w:ascii="Arial" w:hAnsi="Arial" w:cs="Arial"/>
        </w:rPr>
      </w:pPr>
      <w:r w:rsidRPr="008B2264">
        <w:rPr>
          <w:rFonts w:ascii="Arial" w:hAnsi="Arial" w:cs="Arial"/>
        </w:rPr>
        <w:t>Para el desarrollo del proyecto de investigación se usaron como principales fuentes de información las siguientes:</w:t>
      </w:r>
    </w:p>
    <w:p w14:paraId="0E5ACFCC" w14:textId="77777777" w:rsidR="008C01ED" w:rsidRPr="008B2264" w:rsidRDefault="008C01ED" w:rsidP="00E6652A">
      <w:pPr>
        <w:pStyle w:val="Bibliografa"/>
        <w:spacing w:line="360" w:lineRule="auto"/>
        <w:jc w:val="both"/>
        <w:rPr>
          <w:rFonts w:ascii="Arial" w:eastAsiaTheme="minorHAnsi" w:hAnsi="Arial" w:cs="Arial"/>
          <w:lang w:eastAsia="en-US"/>
        </w:rPr>
      </w:pPr>
      <w:r w:rsidRPr="008B2264">
        <w:rPr>
          <w:rFonts w:ascii="Arial" w:eastAsia="Arial" w:hAnsi="Arial" w:cs="Arial"/>
          <w:b/>
          <w:bCs/>
        </w:rPr>
        <w:t>Libros:</w:t>
      </w:r>
      <w:r w:rsidRPr="008B2264">
        <w:rPr>
          <w:rFonts w:ascii="Arial" w:eastAsia="Arial" w:hAnsi="Arial" w:cs="Arial"/>
        </w:rPr>
        <w:t xml:space="preserve"> </w:t>
      </w:r>
      <w:r w:rsidRPr="008B2264">
        <w:rPr>
          <w:rFonts w:ascii="Arial" w:eastAsia="Arial,Calibri" w:hAnsi="Arial" w:cs="Arial"/>
          <w:lang w:eastAsia="en-US"/>
        </w:rPr>
        <w:t>Normas Internacionales de Información Financiera, Estatuto Tributario, Elementos tributarios dentro del proceso de convergencia hacia estándares internacionales de contabilidad entre otros.</w:t>
      </w:r>
    </w:p>
    <w:p w14:paraId="20D63C1C" w14:textId="1A86B633" w:rsidR="008C01ED" w:rsidRPr="008B2264" w:rsidRDefault="008C01ED" w:rsidP="00E6652A">
      <w:pPr>
        <w:spacing w:line="360" w:lineRule="auto"/>
        <w:jc w:val="both"/>
        <w:rPr>
          <w:rFonts w:ascii="Arial" w:hAnsi="Arial" w:cs="Arial"/>
          <w:noProof/>
          <w:lang w:val="es-ES"/>
        </w:rPr>
      </w:pPr>
      <w:r w:rsidRPr="008B2264">
        <w:rPr>
          <w:rFonts w:ascii="Arial" w:hAnsi="Arial" w:cs="Arial"/>
          <w:b/>
        </w:rPr>
        <w:t xml:space="preserve">Documentos oficiales de instituciones públicas: </w:t>
      </w:r>
      <w:r w:rsidRPr="008B2264">
        <w:rPr>
          <w:rFonts w:ascii="Arial" w:hAnsi="Arial" w:cs="Arial"/>
        </w:rPr>
        <w:t xml:space="preserve">Diferentes leyes y decretos, </w:t>
      </w:r>
      <w:r w:rsidRPr="008B2264">
        <w:rPr>
          <w:rFonts w:ascii="Arial" w:hAnsi="Arial" w:cs="Arial"/>
          <w:noProof/>
          <w:lang w:val="es-ES"/>
        </w:rPr>
        <w:t xml:space="preserve">Guia de Aplicacion por primera vez de las NIIF para los preparadores de informacion financiera del grupo 1, Principales Divergencias en Políticas Contables entre los PGCA en Colombia y las IFRS </w:t>
      </w:r>
      <w:r w:rsidR="00E6652A">
        <w:rPr>
          <w:rFonts w:ascii="Arial" w:hAnsi="Arial" w:cs="Arial"/>
          <w:noProof/>
          <w:lang w:val="es-ES"/>
        </w:rPr>
        <w:t>–</w:t>
      </w:r>
      <w:r w:rsidRPr="008B2264">
        <w:rPr>
          <w:rFonts w:ascii="Arial" w:hAnsi="Arial" w:cs="Arial"/>
          <w:noProof/>
          <w:lang w:val="es-ES"/>
        </w:rPr>
        <w:t>NIIF</w:t>
      </w:r>
      <w:r w:rsidR="00E6652A">
        <w:rPr>
          <w:rFonts w:ascii="Arial" w:hAnsi="Arial" w:cs="Arial"/>
          <w:noProof/>
          <w:lang w:val="es-ES"/>
        </w:rPr>
        <w:t>,</w:t>
      </w:r>
      <w:r w:rsidRPr="008B2264">
        <w:rPr>
          <w:rFonts w:ascii="Arial" w:hAnsi="Arial" w:cs="Arial"/>
          <w:noProof/>
          <w:lang w:val="es-ES"/>
        </w:rPr>
        <w:t xml:space="preserve"> entre otros</w:t>
      </w:r>
    </w:p>
    <w:p w14:paraId="34381A2F" w14:textId="77777777" w:rsidR="008C01ED" w:rsidRPr="008B2264" w:rsidRDefault="008C01ED" w:rsidP="00E6652A">
      <w:pPr>
        <w:spacing w:line="360" w:lineRule="auto"/>
        <w:jc w:val="both"/>
        <w:rPr>
          <w:rFonts w:ascii="Arial" w:hAnsi="Arial" w:cs="Arial"/>
          <w:noProof/>
          <w:lang w:val="es-ES"/>
        </w:rPr>
      </w:pPr>
      <w:r w:rsidRPr="008B2264">
        <w:rPr>
          <w:rFonts w:ascii="Arial" w:hAnsi="Arial" w:cs="Arial"/>
          <w:b/>
          <w:noProof/>
          <w:lang w:val="es-ES"/>
        </w:rPr>
        <w:t xml:space="preserve">Documentos de investigacion: </w:t>
      </w:r>
      <w:r w:rsidRPr="008B2264">
        <w:rPr>
          <w:rFonts w:ascii="Arial" w:hAnsi="Arial" w:cs="Arial"/>
          <w:noProof/>
          <w:lang w:val="es-ES"/>
        </w:rPr>
        <w:t>Estudio sobre los efectos de la aplicación de las normas contables del IASB a los sectores cotizados de la bolsa española , Aplicación de las normas internacionales de información financiera (NIC/NIIF): efecto tributario en el impuesto sobre la renta con la aplicación de las NIC 2 inventarios, 16 propiedades, planta y equipo, 17 arrendamient</w:t>
      </w:r>
      <w:r w:rsidR="00D4680A" w:rsidRPr="008B2264">
        <w:rPr>
          <w:rFonts w:ascii="Arial" w:hAnsi="Arial" w:cs="Arial"/>
          <w:noProof/>
          <w:lang w:val="es-ES"/>
        </w:rPr>
        <w:t>os y el desarrollo de las NIC 12, entre otros.</w:t>
      </w:r>
    </w:p>
    <w:p w14:paraId="3366170E" w14:textId="3F8210B2" w:rsidR="008C01ED" w:rsidRPr="008B2264" w:rsidRDefault="6DDAAA3F" w:rsidP="00E6652A">
      <w:pPr>
        <w:spacing w:line="360" w:lineRule="auto"/>
        <w:jc w:val="both"/>
        <w:rPr>
          <w:rFonts w:ascii="Arial" w:hAnsi="Arial" w:cs="Arial"/>
        </w:rPr>
      </w:pPr>
      <w:r w:rsidRPr="008B2264">
        <w:rPr>
          <w:rFonts w:ascii="Arial" w:eastAsia="Arial" w:hAnsi="Arial" w:cs="Arial"/>
          <w:b/>
          <w:bCs/>
        </w:rPr>
        <w:t>Otros:</w:t>
      </w:r>
      <w:r w:rsidRPr="008B2264">
        <w:rPr>
          <w:rFonts w:ascii="Arial" w:eastAsia="Arial" w:hAnsi="Arial" w:cs="Arial"/>
        </w:rPr>
        <w:t xml:space="preserve"> Base de datos de la Superinte</w:t>
      </w:r>
      <w:r w:rsidR="007D153E">
        <w:rPr>
          <w:rFonts w:ascii="Arial" w:eastAsia="Arial" w:hAnsi="Arial" w:cs="Arial"/>
        </w:rPr>
        <w:t xml:space="preserve">ndencia de Sociedades - SIREM, </w:t>
      </w:r>
      <w:r w:rsidRPr="008B2264">
        <w:rPr>
          <w:rFonts w:ascii="Arial" w:eastAsia="Arial" w:hAnsi="Arial" w:cs="Arial"/>
        </w:rPr>
        <w:t>información dispuesta en la seccional de Medellín de la Superintendencia de Sociedades</w:t>
      </w:r>
    </w:p>
    <w:p w14:paraId="0E5F2406" w14:textId="77777777" w:rsidR="00D4680A" w:rsidRPr="008B2264" w:rsidRDefault="00D4680A" w:rsidP="00E6652A">
      <w:pPr>
        <w:spacing w:line="360" w:lineRule="auto"/>
        <w:jc w:val="both"/>
        <w:rPr>
          <w:rFonts w:ascii="Arial" w:hAnsi="Arial" w:cs="Arial"/>
        </w:rPr>
      </w:pPr>
    </w:p>
    <w:p w14:paraId="09B4E9C1" w14:textId="77777777" w:rsidR="00E6652A" w:rsidRDefault="00E6652A">
      <w:pPr>
        <w:rPr>
          <w:rFonts w:ascii="Arial" w:hAnsi="Arial" w:cs="Arial"/>
          <w:b/>
          <w:sz w:val="24"/>
        </w:rPr>
      </w:pPr>
      <w:r>
        <w:rPr>
          <w:rFonts w:ascii="Arial" w:hAnsi="Arial" w:cs="Arial"/>
          <w:b/>
          <w:sz w:val="24"/>
        </w:rPr>
        <w:br w:type="page"/>
      </w:r>
    </w:p>
    <w:p w14:paraId="596E1B60" w14:textId="2BAD14E2" w:rsidR="004162B2" w:rsidRDefault="00375B3F" w:rsidP="00E6652A">
      <w:pPr>
        <w:pStyle w:val="Ttulo1"/>
        <w:numPr>
          <w:ilvl w:val="0"/>
          <w:numId w:val="3"/>
        </w:numPr>
      </w:pPr>
      <w:bookmarkStart w:id="5" w:name="_Toc427270532"/>
      <w:r w:rsidRPr="008B2264">
        <w:lastRenderedPageBreak/>
        <w:t>NARRACIÓN DE LAS RUTAS SEGUIDA Y SUS DIFICULTADES</w:t>
      </w:r>
      <w:bookmarkEnd w:id="5"/>
    </w:p>
    <w:p w14:paraId="2A06F8A5" w14:textId="77777777" w:rsidR="00E6652A" w:rsidRPr="00E6652A" w:rsidRDefault="00E6652A" w:rsidP="00E6652A">
      <w:pPr>
        <w:rPr>
          <w:lang w:eastAsia="es-CO"/>
        </w:rPr>
      </w:pPr>
    </w:p>
    <w:p w14:paraId="4AE2FDA7" w14:textId="01AA7F2A" w:rsidR="000D6781" w:rsidRPr="008B2264" w:rsidRDefault="000D6781" w:rsidP="00C926DC">
      <w:pPr>
        <w:spacing w:line="360" w:lineRule="auto"/>
        <w:jc w:val="both"/>
        <w:rPr>
          <w:rFonts w:ascii="Arial" w:hAnsi="Arial" w:cs="Arial"/>
        </w:rPr>
      </w:pPr>
      <w:r w:rsidRPr="008B2264">
        <w:rPr>
          <w:rFonts w:ascii="Arial" w:hAnsi="Arial" w:cs="Arial"/>
        </w:rPr>
        <w:t>En la</w:t>
      </w:r>
      <w:r w:rsidR="00E6652A">
        <w:rPr>
          <w:rFonts w:ascii="Arial" w:hAnsi="Arial" w:cs="Arial"/>
        </w:rPr>
        <w:t xml:space="preserve"> elaboración</w:t>
      </w:r>
      <w:r w:rsidR="00D4680A" w:rsidRPr="008B2264">
        <w:rPr>
          <w:rFonts w:ascii="Arial" w:hAnsi="Arial" w:cs="Arial"/>
        </w:rPr>
        <w:t xml:space="preserve"> y redac</w:t>
      </w:r>
      <w:r w:rsidR="00E6652A">
        <w:rPr>
          <w:rFonts w:ascii="Arial" w:hAnsi="Arial" w:cs="Arial"/>
        </w:rPr>
        <w:t>ción</w:t>
      </w:r>
      <w:r w:rsidR="00D4680A" w:rsidRPr="008B2264">
        <w:rPr>
          <w:rFonts w:ascii="Arial" w:hAnsi="Arial" w:cs="Arial"/>
        </w:rPr>
        <w:t xml:space="preserve"> </w:t>
      </w:r>
      <w:r w:rsidR="00E6652A">
        <w:rPr>
          <w:rFonts w:ascii="Arial" w:hAnsi="Arial" w:cs="Arial"/>
        </w:rPr>
        <w:t>d</w:t>
      </w:r>
      <w:r w:rsidR="00D4680A" w:rsidRPr="008B2264">
        <w:rPr>
          <w:rFonts w:ascii="Arial" w:hAnsi="Arial" w:cs="Arial"/>
        </w:rPr>
        <w:t xml:space="preserve">el artículo de investigación se hizo un análisis de </w:t>
      </w:r>
      <w:r w:rsidR="00E6652A">
        <w:rPr>
          <w:rFonts w:ascii="Arial" w:hAnsi="Arial" w:cs="Arial"/>
        </w:rPr>
        <w:t>algunas N</w:t>
      </w:r>
      <w:r w:rsidR="00D4680A" w:rsidRPr="008B2264">
        <w:rPr>
          <w:rFonts w:ascii="Arial" w:hAnsi="Arial" w:cs="Arial"/>
        </w:rPr>
        <w:t xml:space="preserve">ormas </w:t>
      </w:r>
      <w:r w:rsidR="00E6652A">
        <w:rPr>
          <w:rFonts w:ascii="Arial" w:hAnsi="Arial" w:cs="Arial"/>
        </w:rPr>
        <w:t>I</w:t>
      </w:r>
      <w:r w:rsidR="00D4680A" w:rsidRPr="008B2264">
        <w:rPr>
          <w:rFonts w:ascii="Arial" w:hAnsi="Arial" w:cs="Arial"/>
        </w:rPr>
        <w:t xml:space="preserve">nternacionales de </w:t>
      </w:r>
      <w:r w:rsidR="00E6652A">
        <w:rPr>
          <w:rFonts w:ascii="Arial" w:hAnsi="Arial" w:cs="Arial"/>
        </w:rPr>
        <w:t>C</w:t>
      </w:r>
      <w:r w:rsidR="00D4680A" w:rsidRPr="008B2264">
        <w:rPr>
          <w:rFonts w:ascii="Arial" w:hAnsi="Arial" w:cs="Arial"/>
        </w:rPr>
        <w:t xml:space="preserve">ontabilidad y un esquema </w:t>
      </w:r>
      <w:r w:rsidR="00C926DC" w:rsidRPr="008B2264">
        <w:rPr>
          <w:rFonts w:ascii="Arial" w:hAnsi="Arial" w:cs="Arial"/>
        </w:rPr>
        <w:t xml:space="preserve">con cada uno de los títulos y </w:t>
      </w:r>
      <w:r w:rsidR="00E6652A">
        <w:rPr>
          <w:rFonts w:ascii="Arial" w:hAnsi="Arial" w:cs="Arial"/>
        </w:rPr>
        <w:t xml:space="preserve">los </w:t>
      </w:r>
      <w:r w:rsidR="00C926DC" w:rsidRPr="008B2264">
        <w:rPr>
          <w:rFonts w:ascii="Arial" w:hAnsi="Arial" w:cs="Arial"/>
        </w:rPr>
        <w:t>contenidos del</w:t>
      </w:r>
      <w:r w:rsidR="00D4680A" w:rsidRPr="008B2264">
        <w:rPr>
          <w:rFonts w:ascii="Arial" w:hAnsi="Arial" w:cs="Arial"/>
        </w:rPr>
        <w:t xml:space="preserve"> trabajo </w:t>
      </w:r>
      <w:r w:rsidR="00C926DC" w:rsidRPr="008B2264">
        <w:rPr>
          <w:rFonts w:ascii="Arial" w:hAnsi="Arial" w:cs="Arial"/>
        </w:rPr>
        <w:t xml:space="preserve">una vez </w:t>
      </w:r>
      <w:r w:rsidR="00D4680A" w:rsidRPr="008B2264">
        <w:rPr>
          <w:rFonts w:ascii="Arial" w:hAnsi="Arial" w:cs="Arial"/>
        </w:rPr>
        <w:t>fi</w:t>
      </w:r>
      <w:r w:rsidR="008E21D0" w:rsidRPr="008B2264">
        <w:rPr>
          <w:rFonts w:ascii="Arial" w:hAnsi="Arial" w:cs="Arial"/>
        </w:rPr>
        <w:t xml:space="preserve">nalizado, </w:t>
      </w:r>
      <w:r w:rsidRPr="008B2264">
        <w:rPr>
          <w:rFonts w:ascii="Arial" w:hAnsi="Arial" w:cs="Arial"/>
        </w:rPr>
        <w:t xml:space="preserve">el cual se elaboraría en dos etapas, la primera de contextualización la cual contendría dos capítulos y comprendería la mitad </w:t>
      </w:r>
      <w:r w:rsidR="00E6652A">
        <w:rPr>
          <w:rFonts w:ascii="Arial" w:hAnsi="Arial" w:cs="Arial"/>
        </w:rPr>
        <w:t>d</w:t>
      </w:r>
      <w:r w:rsidRPr="008B2264">
        <w:rPr>
          <w:rFonts w:ascii="Arial" w:hAnsi="Arial" w:cs="Arial"/>
        </w:rPr>
        <w:t xml:space="preserve">el trabajo, y la segunda etapa que sería todo el análisis especifico y dirigido a las empresas comercializadoras para dar </w:t>
      </w:r>
      <w:r w:rsidR="00E6652A">
        <w:rPr>
          <w:rFonts w:ascii="Arial" w:hAnsi="Arial" w:cs="Arial"/>
        </w:rPr>
        <w:t>respuesta</w:t>
      </w:r>
      <w:r w:rsidRPr="008B2264">
        <w:rPr>
          <w:rFonts w:ascii="Arial" w:hAnsi="Arial" w:cs="Arial"/>
        </w:rPr>
        <w:t xml:space="preserve"> a la mayoría de objetivos.</w:t>
      </w:r>
    </w:p>
    <w:p w14:paraId="173A4EE5" w14:textId="75257F56" w:rsidR="006B3ACA" w:rsidRPr="008B2264" w:rsidRDefault="000D6781" w:rsidP="00C926DC">
      <w:pPr>
        <w:spacing w:line="360" w:lineRule="auto"/>
        <w:jc w:val="both"/>
        <w:rPr>
          <w:rFonts w:ascii="Arial" w:hAnsi="Arial" w:cs="Arial"/>
        </w:rPr>
      </w:pPr>
      <w:r w:rsidRPr="008B2264">
        <w:rPr>
          <w:rFonts w:ascii="Arial" w:hAnsi="Arial" w:cs="Arial"/>
        </w:rPr>
        <w:t>Para</w:t>
      </w:r>
      <w:r w:rsidR="00D4680A" w:rsidRPr="008B2264">
        <w:rPr>
          <w:rFonts w:ascii="Arial" w:hAnsi="Arial" w:cs="Arial"/>
        </w:rPr>
        <w:t xml:space="preserve"> iniciar con las fases y procedimientos escritas en la primera etapa del proyecto</w:t>
      </w:r>
      <w:r w:rsidR="00E6652A">
        <w:rPr>
          <w:rFonts w:ascii="Arial" w:hAnsi="Arial" w:cs="Arial"/>
        </w:rPr>
        <w:t>, s</w:t>
      </w:r>
      <w:r w:rsidRPr="008B2264">
        <w:rPr>
          <w:rFonts w:ascii="Arial" w:hAnsi="Arial" w:cs="Arial"/>
        </w:rPr>
        <w:t>e b</w:t>
      </w:r>
      <w:r w:rsidR="00E6652A">
        <w:rPr>
          <w:rFonts w:ascii="Arial" w:eastAsia="Times New Roman" w:hAnsi="Arial" w:cs="Arial"/>
          <w:color w:val="000000"/>
          <w:szCs w:val="24"/>
        </w:rPr>
        <w:t>uscaron</w:t>
      </w:r>
      <w:r w:rsidR="006B3ACA" w:rsidRPr="008B2264">
        <w:rPr>
          <w:rFonts w:ascii="Arial" w:eastAsia="Times New Roman" w:hAnsi="Arial" w:cs="Arial"/>
          <w:color w:val="000000"/>
          <w:szCs w:val="24"/>
        </w:rPr>
        <w:t xml:space="preserve"> </w:t>
      </w:r>
      <w:r w:rsidRPr="008B2264">
        <w:rPr>
          <w:rFonts w:ascii="Arial" w:eastAsia="Times New Roman" w:hAnsi="Arial" w:cs="Arial"/>
          <w:color w:val="000000"/>
          <w:szCs w:val="24"/>
        </w:rPr>
        <w:t>y ley</w:t>
      </w:r>
      <w:r w:rsidR="00E6652A">
        <w:rPr>
          <w:rFonts w:ascii="Arial" w:eastAsia="Times New Roman" w:hAnsi="Arial" w:cs="Arial"/>
          <w:color w:val="000000"/>
          <w:szCs w:val="24"/>
        </w:rPr>
        <w:t>eron</w:t>
      </w:r>
      <w:r w:rsidRPr="008B2264">
        <w:rPr>
          <w:rFonts w:ascii="Arial" w:eastAsia="Times New Roman" w:hAnsi="Arial" w:cs="Arial"/>
          <w:color w:val="000000"/>
          <w:szCs w:val="24"/>
        </w:rPr>
        <w:t xml:space="preserve"> </w:t>
      </w:r>
      <w:r w:rsidR="006B3ACA" w:rsidRPr="008B2264">
        <w:rPr>
          <w:rFonts w:ascii="Arial" w:eastAsia="Times New Roman" w:hAnsi="Arial" w:cs="Arial"/>
          <w:color w:val="000000"/>
          <w:szCs w:val="24"/>
        </w:rPr>
        <w:t xml:space="preserve">fuentes de información referentes a los impactos de </w:t>
      </w:r>
      <w:r w:rsidRPr="008B2264">
        <w:rPr>
          <w:rFonts w:ascii="Arial" w:eastAsia="Times New Roman" w:hAnsi="Arial" w:cs="Arial"/>
          <w:color w:val="000000"/>
          <w:szCs w:val="24"/>
        </w:rPr>
        <w:t>la implementación de NICs/NIIFs, procura</w:t>
      </w:r>
      <w:r w:rsidR="00E6652A">
        <w:rPr>
          <w:rFonts w:ascii="Arial" w:eastAsia="Times New Roman" w:hAnsi="Arial" w:cs="Arial"/>
          <w:color w:val="000000"/>
          <w:szCs w:val="24"/>
        </w:rPr>
        <w:t>n</w:t>
      </w:r>
      <w:r w:rsidRPr="008B2264">
        <w:rPr>
          <w:rFonts w:ascii="Arial" w:eastAsia="Times New Roman" w:hAnsi="Arial" w:cs="Arial"/>
          <w:color w:val="000000"/>
          <w:szCs w:val="24"/>
        </w:rPr>
        <w:t xml:space="preserve">do seleccionar </w:t>
      </w:r>
      <w:r w:rsidR="006B3ACA" w:rsidRPr="008B2264">
        <w:rPr>
          <w:rFonts w:ascii="Arial" w:eastAsia="Times New Roman" w:hAnsi="Arial" w:cs="Arial"/>
          <w:color w:val="000000"/>
          <w:szCs w:val="24"/>
        </w:rPr>
        <w:t>las fuentes que guard</w:t>
      </w:r>
      <w:r w:rsidRPr="008B2264">
        <w:rPr>
          <w:rFonts w:ascii="Arial" w:eastAsia="Times New Roman" w:hAnsi="Arial" w:cs="Arial"/>
          <w:color w:val="000000"/>
          <w:szCs w:val="24"/>
        </w:rPr>
        <w:t>a</w:t>
      </w:r>
      <w:r w:rsidR="00E6652A">
        <w:rPr>
          <w:rFonts w:ascii="Arial" w:eastAsia="Times New Roman" w:hAnsi="Arial" w:cs="Arial"/>
          <w:color w:val="000000"/>
          <w:szCs w:val="24"/>
        </w:rPr>
        <w:t>ban</w:t>
      </w:r>
      <w:r w:rsidRPr="008B2264">
        <w:rPr>
          <w:rFonts w:ascii="Arial" w:eastAsia="Times New Roman" w:hAnsi="Arial" w:cs="Arial"/>
          <w:color w:val="000000"/>
          <w:szCs w:val="24"/>
        </w:rPr>
        <w:t xml:space="preserve"> más relación con el trabajo y seguir el esquema acordado con el asesor temático.</w:t>
      </w:r>
    </w:p>
    <w:p w14:paraId="7A6BC6A6" w14:textId="162B9AD0" w:rsidR="000D6781" w:rsidRPr="008B2264" w:rsidRDefault="000D6781" w:rsidP="00C926DC">
      <w:pPr>
        <w:spacing w:line="360" w:lineRule="auto"/>
        <w:jc w:val="both"/>
        <w:rPr>
          <w:rFonts w:ascii="Arial" w:eastAsia="Arial" w:hAnsi="Arial" w:cs="Arial"/>
        </w:rPr>
      </w:pPr>
      <w:r w:rsidRPr="008B2264">
        <w:rPr>
          <w:rFonts w:ascii="Arial" w:eastAsia="Arial" w:hAnsi="Arial" w:cs="Arial"/>
        </w:rPr>
        <w:t>Para la recolección de la información objeto de análisis</w:t>
      </w:r>
      <w:r w:rsidR="00C926DC" w:rsidRPr="008B2264">
        <w:rPr>
          <w:rFonts w:ascii="Arial" w:eastAsia="Arial" w:hAnsi="Arial" w:cs="Arial"/>
        </w:rPr>
        <w:t xml:space="preserve"> se presentaron muchos problemas, puesto que las empresas no brindaban la información y en algunos casos ni la poseían,</w:t>
      </w:r>
      <w:r w:rsidR="000D0945" w:rsidRPr="008B2264">
        <w:rPr>
          <w:rFonts w:ascii="Arial" w:eastAsia="Arial" w:hAnsi="Arial" w:cs="Arial"/>
        </w:rPr>
        <w:t xml:space="preserve"> se pensó en varias ocasiones en cambiar el tipo de instrumento, pero al final</w:t>
      </w:r>
      <w:r w:rsidRPr="008B2264">
        <w:rPr>
          <w:rFonts w:ascii="Arial" w:eastAsia="Arial" w:hAnsi="Arial" w:cs="Arial"/>
        </w:rPr>
        <w:t xml:space="preserve"> se utilizó la observación de los estados financieros en conjunto con sus notas de las empresas comercializadoras de Medellín clasificadas dentro del grupo 1 de acuerdo a la división para la implementación de NIIF en Colombia, </w:t>
      </w:r>
      <w:r w:rsidR="00E6652A">
        <w:rPr>
          <w:rFonts w:ascii="Arial" w:eastAsia="Arial" w:hAnsi="Arial" w:cs="Arial"/>
        </w:rPr>
        <w:t xml:space="preserve">las cuales eran </w:t>
      </w:r>
      <w:r w:rsidRPr="008B2264">
        <w:rPr>
          <w:rFonts w:ascii="Arial" w:eastAsia="Arial" w:hAnsi="Arial" w:cs="Arial"/>
        </w:rPr>
        <w:t>nueve empresas según información publicada por la Superintendencia de Sociedades. Para la obtención de la información se consultaron los sistemas de información de la Superintendencia de Sociedades y el archivo dispuesto en la seccional de Medellín.</w:t>
      </w:r>
    </w:p>
    <w:p w14:paraId="3281C151" w14:textId="642B4F62" w:rsidR="00C926DC" w:rsidRPr="008B2264" w:rsidRDefault="000D6781" w:rsidP="00C926DC">
      <w:pPr>
        <w:spacing w:line="360" w:lineRule="auto"/>
        <w:jc w:val="both"/>
        <w:rPr>
          <w:rFonts w:ascii="Arial" w:eastAsia="Arial" w:hAnsi="Arial" w:cs="Arial"/>
          <w:sz w:val="24"/>
          <w:szCs w:val="24"/>
        </w:rPr>
      </w:pPr>
      <w:r w:rsidRPr="008B2264">
        <w:rPr>
          <w:rFonts w:ascii="Arial" w:eastAsia="Arial" w:hAnsi="Arial" w:cs="Arial"/>
        </w:rPr>
        <w:t>Luego de recolectar la información necesaria de cada una de las empresas elegidas previamente se realizó la conversión a NIIF, ya que por el decreto 2784 de 2012 el Estado de Situación Financiera de Apertura y la información del período de transición a NIIF no puede ser puesta en conocimiento del público; en dicha conversión se analiz</w:t>
      </w:r>
      <w:r w:rsidR="00437C4B">
        <w:rPr>
          <w:rFonts w:ascii="Arial" w:eastAsia="Arial" w:hAnsi="Arial" w:cs="Arial"/>
        </w:rPr>
        <w:t>aron</w:t>
      </w:r>
      <w:r w:rsidRPr="008B2264">
        <w:rPr>
          <w:rFonts w:ascii="Arial" w:eastAsia="Arial" w:hAnsi="Arial" w:cs="Arial"/>
        </w:rPr>
        <w:t xml:space="preserve"> aquellos rubros contables con mayor impacto en la implementación de NIIF y en el resultado de la compañía, para luego crear </w:t>
      </w:r>
      <w:r w:rsidR="00437C4B">
        <w:rPr>
          <w:rFonts w:ascii="Arial" w:eastAsia="Arial" w:hAnsi="Arial" w:cs="Arial"/>
        </w:rPr>
        <w:t xml:space="preserve">algunos </w:t>
      </w:r>
      <w:r w:rsidRPr="008B2264">
        <w:rPr>
          <w:rFonts w:ascii="Arial" w:eastAsia="Arial" w:hAnsi="Arial" w:cs="Arial"/>
        </w:rPr>
        <w:t xml:space="preserve">escenarios sobre qué pasaría si se modificaran algunos aspectos para la depuración de la base gravable, finalmente con los resultados obtenidos se realizó un </w:t>
      </w:r>
      <w:r w:rsidRPr="00437C4B">
        <w:rPr>
          <w:rFonts w:ascii="Arial" w:eastAsia="Arial" w:hAnsi="Arial" w:cs="Arial"/>
        </w:rPr>
        <w:t xml:space="preserve">análisis a partir de los cuales se redactó el </w:t>
      </w:r>
      <w:r w:rsidR="00437C4B" w:rsidRPr="00437C4B">
        <w:rPr>
          <w:rFonts w:ascii="Arial" w:eastAsia="Arial" w:hAnsi="Arial" w:cs="Arial"/>
        </w:rPr>
        <w:t xml:space="preserve">ultimo capitulo </w:t>
      </w:r>
      <w:r w:rsidRPr="00437C4B">
        <w:rPr>
          <w:rFonts w:ascii="Arial" w:eastAsia="Arial" w:hAnsi="Arial" w:cs="Arial"/>
        </w:rPr>
        <w:t xml:space="preserve">y las </w:t>
      </w:r>
      <w:r w:rsidR="00437C4B" w:rsidRPr="00437C4B">
        <w:rPr>
          <w:rFonts w:ascii="Arial" w:eastAsia="Arial" w:hAnsi="Arial" w:cs="Arial"/>
        </w:rPr>
        <w:t>conclusiones de la investigación.</w:t>
      </w:r>
      <w:r w:rsidR="00437C4B">
        <w:rPr>
          <w:rFonts w:ascii="Arial" w:eastAsia="Arial" w:hAnsi="Arial" w:cs="Arial"/>
          <w:sz w:val="24"/>
          <w:szCs w:val="24"/>
        </w:rPr>
        <w:t xml:space="preserve"> </w:t>
      </w:r>
    </w:p>
    <w:p w14:paraId="6CA126E1" w14:textId="77777777" w:rsidR="00437C4B" w:rsidRDefault="00437C4B" w:rsidP="00C926DC">
      <w:pPr>
        <w:spacing w:line="360" w:lineRule="auto"/>
        <w:jc w:val="both"/>
        <w:rPr>
          <w:rFonts w:ascii="Arial" w:eastAsia="Arial" w:hAnsi="Arial" w:cs="Arial"/>
          <w:szCs w:val="24"/>
        </w:rPr>
      </w:pPr>
    </w:p>
    <w:p w14:paraId="7D5D863D" w14:textId="7548B705" w:rsidR="00437C4B" w:rsidRDefault="00437C4B" w:rsidP="00437C4B">
      <w:pPr>
        <w:pStyle w:val="Ttulo1"/>
        <w:numPr>
          <w:ilvl w:val="0"/>
          <w:numId w:val="3"/>
        </w:numPr>
        <w:rPr>
          <w:rFonts w:eastAsia="Arial"/>
        </w:rPr>
      </w:pPr>
      <w:bookmarkStart w:id="6" w:name="_Toc427270533"/>
      <w:r>
        <w:rPr>
          <w:rFonts w:eastAsia="Arial"/>
        </w:rPr>
        <w:lastRenderedPageBreak/>
        <w:t>LA LECTURA Y ESCRITURA</w:t>
      </w:r>
      <w:bookmarkEnd w:id="6"/>
    </w:p>
    <w:p w14:paraId="01A22452" w14:textId="77777777" w:rsidR="00437C4B" w:rsidRPr="00437C4B" w:rsidRDefault="00437C4B" w:rsidP="00437C4B">
      <w:pPr>
        <w:rPr>
          <w:lang w:eastAsia="es-CO"/>
        </w:rPr>
      </w:pPr>
    </w:p>
    <w:p w14:paraId="1D5873A2" w14:textId="2D112B9B" w:rsidR="000D0945" w:rsidRPr="008B2264" w:rsidRDefault="000D0945" w:rsidP="00C926DC">
      <w:pPr>
        <w:spacing w:line="360" w:lineRule="auto"/>
        <w:jc w:val="both"/>
        <w:rPr>
          <w:rFonts w:ascii="Arial" w:eastAsia="Arial" w:hAnsi="Arial" w:cs="Arial"/>
          <w:szCs w:val="24"/>
        </w:rPr>
      </w:pPr>
      <w:r w:rsidRPr="008B2264">
        <w:rPr>
          <w:rFonts w:ascii="Arial" w:eastAsia="Arial" w:hAnsi="Arial" w:cs="Arial"/>
          <w:szCs w:val="24"/>
        </w:rPr>
        <w:t xml:space="preserve">El proceso de redacción y análisis consistía en que cada integrante del grupo llevara a cabo las tareas asignadas en las reuniones con el asesor temático, de forma tal que cada uno subiera los archivos redactados a Onedrive, una plataforma de office y almacenamiento de Microsoft </w:t>
      </w:r>
      <w:r w:rsidR="00437C4B">
        <w:rPr>
          <w:rFonts w:ascii="Arial" w:eastAsia="Arial" w:hAnsi="Arial" w:cs="Arial"/>
          <w:szCs w:val="24"/>
        </w:rPr>
        <w:t>y así</w:t>
      </w:r>
      <w:r w:rsidRPr="008B2264">
        <w:rPr>
          <w:rFonts w:ascii="Arial" w:eastAsia="Arial" w:hAnsi="Arial" w:cs="Arial"/>
          <w:szCs w:val="24"/>
        </w:rPr>
        <w:t xml:space="preserve"> cada integrante del grupo pudiese ver los avance</w:t>
      </w:r>
      <w:r w:rsidR="00437C4B">
        <w:rPr>
          <w:rFonts w:ascii="Arial" w:eastAsia="Arial" w:hAnsi="Arial" w:cs="Arial"/>
          <w:szCs w:val="24"/>
        </w:rPr>
        <w:t>s</w:t>
      </w:r>
      <w:r w:rsidRPr="008B2264">
        <w:rPr>
          <w:rFonts w:ascii="Arial" w:eastAsia="Arial" w:hAnsi="Arial" w:cs="Arial"/>
          <w:szCs w:val="24"/>
        </w:rPr>
        <w:t xml:space="preserve">, los cuales se miraban durante los fines de semana para llegar </w:t>
      </w:r>
      <w:r w:rsidR="00437C4B">
        <w:rPr>
          <w:rFonts w:ascii="Arial" w:eastAsia="Arial" w:hAnsi="Arial" w:cs="Arial"/>
          <w:szCs w:val="24"/>
        </w:rPr>
        <w:t xml:space="preserve">a </w:t>
      </w:r>
      <w:r w:rsidRPr="008B2264">
        <w:rPr>
          <w:rFonts w:ascii="Arial" w:eastAsia="Arial" w:hAnsi="Arial" w:cs="Arial"/>
          <w:szCs w:val="24"/>
        </w:rPr>
        <w:t>acuerdos.</w:t>
      </w:r>
    </w:p>
    <w:p w14:paraId="2153C161" w14:textId="33330F7D" w:rsidR="000D6781" w:rsidRPr="008B2264" w:rsidRDefault="00C926DC" w:rsidP="00C926DC">
      <w:pPr>
        <w:spacing w:before="100" w:beforeAutospacing="1" w:after="100" w:afterAutospacing="1" w:line="360" w:lineRule="auto"/>
        <w:jc w:val="both"/>
        <w:rPr>
          <w:rFonts w:ascii="Arial" w:eastAsia="Arial" w:hAnsi="Arial" w:cs="Arial"/>
        </w:rPr>
      </w:pPr>
      <w:r w:rsidRPr="008B2264">
        <w:rPr>
          <w:rFonts w:ascii="Arial" w:eastAsia="Arial" w:hAnsi="Arial" w:cs="Arial"/>
        </w:rPr>
        <w:t xml:space="preserve">Durante todo el proceso se llevaron reuniones con el asesor temático para acordar aspectos sobre el contenido del trabajo, dichas reuniones quedaron plasmadas en las </w:t>
      </w:r>
      <w:r w:rsidR="00437C4B">
        <w:rPr>
          <w:rFonts w:ascii="Arial" w:eastAsia="Arial" w:hAnsi="Arial" w:cs="Arial"/>
        </w:rPr>
        <w:t>actas que son anexadas.</w:t>
      </w:r>
    </w:p>
    <w:p w14:paraId="60CAB1E0" w14:textId="77777777" w:rsidR="00C926DC" w:rsidRPr="008B2264" w:rsidRDefault="00C926DC" w:rsidP="00C926DC">
      <w:pPr>
        <w:spacing w:before="100" w:beforeAutospacing="1" w:after="100" w:afterAutospacing="1" w:line="360" w:lineRule="auto"/>
        <w:jc w:val="both"/>
        <w:rPr>
          <w:rFonts w:ascii="Arial" w:eastAsia="Arial" w:hAnsi="Arial" w:cs="Arial"/>
        </w:rPr>
      </w:pPr>
    </w:p>
    <w:p w14:paraId="255B260E" w14:textId="42E785F9" w:rsidR="0032382D" w:rsidRDefault="0032382D" w:rsidP="00437C4B">
      <w:pPr>
        <w:pStyle w:val="Ttulo1"/>
        <w:numPr>
          <w:ilvl w:val="0"/>
          <w:numId w:val="3"/>
        </w:numPr>
      </w:pPr>
      <w:bookmarkStart w:id="7" w:name="_Toc427270534"/>
      <w:r w:rsidRPr="008B2264">
        <w:t>ASESORES</w:t>
      </w:r>
      <w:bookmarkEnd w:id="7"/>
    </w:p>
    <w:p w14:paraId="470B8869" w14:textId="77777777" w:rsidR="00437C4B" w:rsidRPr="00437C4B" w:rsidRDefault="00437C4B" w:rsidP="00437C4B">
      <w:pPr>
        <w:rPr>
          <w:lang w:eastAsia="es-CO"/>
        </w:rPr>
      </w:pPr>
    </w:p>
    <w:p w14:paraId="31198CE1" w14:textId="40C01298" w:rsidR="0032382D" w:rsidRPr="008B2264" w:rsidRDefault="0032382D" w:rsidP="0032382D">
      <w:pPr>
        <w:spacing w:line="360" w:lineRule="auto"/>
        <w:jc w:val="both"/>
        <w:rPr>
          <w:rFonts w:ascii="Arial" w:hAnsi="Arial" w:cs="Arial"/>
        </w:rPr>
      </w:pPr>
      <w:r w:rsidRPr="008B2264">
        <w:rPr>
          <w:rFonts w:ascii="Arial" w:hAnsi="Arial" w:cs="Arial"/>
        </w:rPr>
        <w:t>Durante todo el trabajo hubo un buen acompañamiento por parte del asesor temático, en ocasiones se veía</w:t>
      </w:r>
      <w:r w:rsidR="00437C4B">
        <w:rPr>
          <w:rFonts w:ascii="Arial" w:hAnsi="Arial" w:cs="Arial"/>
        </w:rPr>
        <w:t>n</w:t>
      </w:r>
      <w:r w:rsidRPr="008B2264">
        <w:rPr>
          <w:rFonts w:ascii="Arial" w:hAnsi="Arial" w:cs="Arial"/>
        </w:rPr>
        <w:t xml:space="preserve"> diferentes enfoques para el trabajo, puesto que el asesor se inclinaba más por el impactos generados por las NIC 12 de impuesto diferido, mientras que los integrantes del grupo buscaban los efectos directos sobre </w:t>
      </w:r>
      <w:r w:rsidR="00437C4B">
        <w:rPr>
          <w:rFonts w:ascii="Arial" w:hAnsi="Arial" w:cs="Arial"/>
        </w:rPr>
        <w:t xml:space="preserve">el </w:t>
      </w:r>
      <w:bookmarkStart w:id="8" w:name="_GoBack"/>
      <w:r w:rsidR="00437C4B">
        <w:rPr>
          <w:rFonts w:ascii="Arial" w:hAnsi="Arial" w:cs="Arial"/>
        </w:rPr>
        <w:t>impuesto</w:t>
      </w:r>
      <w:bookmarkEnd w:id="8"/>
      <w:r w:rsidR="00437C4B">
        <w:rPr>
          <w:rFonts w:ascii="Arial" w:hAnsi="Arial" w:cs="Arial"/>
        </w:rPr>
        <w:t xml:space="preserve"> de renta</w:t>
      </w:r>
      <w:r w:rsidRPr="008B2264">
        <w:rPr>
          <w:rFonts w:ascii="Arial" w:hAnsi="Arial" w:cs="Arial"/>
        </w:rPr>
        <w:t>, al final se llegó a un acuerdo que permitiera analizar los dos aspectos</w:t>
      </w:r>
    </w:p>
    <w:p w14:paraId="55F2B006" w14:textId="77777777" w:rsidR="0032382D" w:rsidRPr="008B2264" w:rsidRDefault="0032382D" w:rsidP="004C249F">
      <w:pPr>
        <w:spacing w:line="360" w:lineRule="auto"/>
        <w:jc w:val="center"/>
        <w:rPr>
          <w:rFonts w:ascii="Arial" w:hAnsi="Arial" w:cs="Arial"/>
          <w:b/>
          <w:sz w:val="24"/>
        </w:rPr>
      </w:pPr>
    </w:p>
    <w:p w14:paraId="79FFBB4B" w14:textId="669E9403" w:rsidR="004162B2" w:rsidRDefault="00375B3F" w:rsidP="00437C4B">
      <w:pPr>
        <w:pStyle w:val="Ttulo1"/>
        <w:numPr>
          <w:ilvl w:val="0"/>
          <w:numId w:val="3"/>
        </w:numPr>
      </w:pPr>
      <w:bookmarkStart w:id="9" w:name="_Toc427270535"/>
      <w:r w:rsidRPr="00437C4B">
        <w:t>LAS CONCLUSIONES</w:t>
      </w:r>
      <w:bookmarkEnd w:id="9"/>
    </w:p>
    <w:p w14:paraId="4F0B243F" w14:textId="77777777" w:rsidR="00437C4B" w:rsidRPr="00437C4B" w:rsidRDefault="00437C4B" w:rsidP="00437C4B">
      <w:pPr>
        <w:pStyle w:val="Prrafodelista"/>
        <w:spacing w:line="360" w:lineRule="auto"/>
        <w:rPr>
          <w:rFonts w:ascii="Arial" w:hAnsi="Arial" w:cs="Arial"/>
          <w:b/>
          <w:sz w:val="24"/>
        </w:rPr>
      </w:pPr>
    </w:p>
    <w:p w14:paraId="21A626CA" w14:textId="77777777" w:rsidR="0032382D" w:rsidRPr="008B2264" w:rsidRDefault="0032382D" w:rsidP="0032382D">
      <w:pPr>
        <w:pStyle w:val="Prrafodelista"/>
        <w:numPr>
          <w:ilvl w:val="0"/>
          <w:numId w:val="2"/>
        </w:numPr>
        <w:spacing w:line="360" w:lineRule="auto"/>
        <w:jc w:val="both"/>
        <w:rPr>
          <w:rFonts w:ascii="Arial" w:hAnsi="Arial" w:cs="Arial"/>
        </w:rPr>
      </w:pPr>
      <w:r w:rsidRPr="008B2264">
        <w:rPr>
          <w:rFonts w:ascii="Arial" w:hAnsi="Arial" w:cs="Arial"/>
        </w:rPr>
        <w:t xml:space="preserve">El constante acompañamiento continuo del asesor temático permitió el desarrollo eficiente del trabajo </w:t>
      </w:r>
    </w:p>
    <w:p w14:paraId="7B910B3A" w14:textId="77777777" w:rsidR="00260599" w:rsidRPr="008B2264" w:rsidRDefault="00260599" w:rsidP="001C26B1">
      <w:pPr>
        <w:pStyle w:val="Prrafodelista"/>
        <w:numPr>
          <w:ilvl w:val="0"/>
          <w:numId w:val="2"/>
        </w:numPr>
        <w:spacing w:line="360" w:lineRule="auto"/>
        <w:jc w:val="both"/>
        <w:rPr>
          <w:rFonts w:ascii="Arial" w:hAnsi="Arial" w:cs="Arial"/>
        </w:rPr>
      </w:pPr>
      <w:r w:rsidRPr="008B2264">
        <w:rPr>
          <w:rFonts w:ascii="Arial" w:hAnsi="Arial" w:cs="Arial"/>
        </w:rPr>
        <w:t>Un aspecto muy importante que el grupo concluyo al hacer esta investigación, radica en la carencia de carácter público de la información contable de las empresas y la casi nulas revelaciones que hacen estas en las notas de los estados financieros. Se espera que con las revelaciones exigidas por las normas internacionales las empresas mejoren en ese último aspecto.</w:t>
      </w:r>
    </w:p>
    <w:p w14:paraId="482ECE8E" w14:textId="77777777" w:rsidR="001C26B1" w:rsidRPr="008B2264" w:rsidRDefault="001C26B1" w:rsidP="001C26B1">
      <w:pPr>
        <w:pStyle w:val="Prrafodelista"/>
        <w:numPr>
          <w:ilvl w:val="0"/>
          <w:numId w:val="2"/>
        </w:numPr>
        <w:spacing w:line="360" w:lineRule="auto"/>
        <w:jc w:val="both"/>
        <w:rPr>
          <w:rFonts w:ascii="Arial" w:hAnsi="Arial" w:cs="Arial"/>
        </w:rPr>
      </w:pPr>
      <w:r w:rsidRPr="008B2264">
        <w:rPr>
          <w:rFonts w:ascii="Arial" w:hAnsi="Arial" w:cs="Arial"/>
        </w:rPr>
        <w:t>El trabajo brindo un amplio conocimiento en temas contables y tributarios a los miembros del grupo.</w:t>
      </w:r>
    </w:p>
    <w:p w14:paraId="095CB4EC" w14:textId="002D19C8" w:rsidR="00260599" w:rsidRPr="008B2264" w:rsidRDefault="00437C4B" w:rsidP="00437C4B">
      <w:pPr>
        <w:pStyle w:val="Ttulo1"/>
        <w:numPr>
          <w:ilvl w:val="0"/>
          <w:numId w:val="3"/>
        </w:numPr>
        <w:rPr>
          <w:rFonts w:cs="Arial"/>
        </w:rPr>
      </w:pPr>
      <w:bookmarkStart w:id="10" w:name="_Toc427270536"/>
      <w:r>
        <w:lastRenderedPageBreak/>
        <w:t>ANEXOS</w:t>
      </w:r>
      <w:bookmarkEnd w:id="10"/>
    </w:p>
    <w:p w14:paraId="440EB340" w14:textId="77777777" w:rsidR="00260599" w:rsidRDefault="00260599" w:rsidP="00260599">
      <w:pPr>
        <w:spacing w:line="360" w:lineRule="auto"/>
        <w:jc w:val="both"/>
        <w:rPr>
          <w:rFonts w:ascii="Arial" w:hAnsi="Arial" w:cs="Arial"/>
        </w:rPr>
      </w:pPr>
    </w:p>
    <w:p w14:paraId="445807AD" w14:textId="164068BA" w:rsidR="00437C4B" w:rsidRDefault="00437C4B" w:rsidP="00260599">
      <w:pPr>
        <w:spacing w:line="360" w:lineRule="auto"/>
        <w:jc w:val="both"/>
        <w:rPr>
          <w:rFonts w:ascii="Arial" w:hAnsi="Arial" w:cs="Arial"/>
        </w:rPr>
      </w:pPr>
      <w:r>
        <w:rPr>
          <w:rFonts w:ascii="Arial" w:hAnsi="Arial" w:cs="Arial"/>
        </w:rPr>
        <w:t>Se anexan:</w:t>
      </w:r>
    </w:p>
    <w:p w14:paraId="002B3FEF" w14:textId="55048D7A" w:rsidR="00437C4B" w:rsidRDefault="00437C4B" w:rsidP="00437C4B">
      <w:pPr>
        <w:pStyle w:val="Prrafodelista"/>
        <w:numPr>
          <w:ilvl w:val="0"/>
          <w:numId w:val="4"/>
        </w:numPr>
        <w:spacing w:line="360" w:lineRule="auto"/>
        <w:jc w:val="both"/>
        <w:rPr>
          <w:rFonts w:ascii="Arial" w:hAnsi="Arial" w:cs="Arial"/>
        </w:rPr>
      </w:pPr>
      <w:r>
        <w:rPr>
          <w:rFonts w:ascii="Arial" w:hAnsi="Arial" w:cs="Arial"/>
        </w:rPr>
        <w:t>Actas de las reuniones con el asesor temático.</w:t>
      </w:r>
    </w:p>
    <w:p w14:paraId="5B65373A" w14:textId="66A209DC" w:rsidR="00437C4B" w:rsidRDefault="00437C4B" w:rsidP="00437C4B">
      <w:pPr>
        <w:pStyle w:val="Prrafodelista"/>
        <w:numPr>
          <w:ilvl w:val="0"/>
          <w:numId w:val="4"/>
        </w:numPr>
        <w:spacing w:line="360" w:lineRule="auto"/>
        <w:jc w:val="both"/>
        <w:rPr>
          <w:rFonts w:ascii="Arial" w:hAnsi="Arial" w:cs="Arial"/>
        </w:rPr>
      </w:pPr>
      <w:r>
        <w:rPr>
          <w:rFonts w:ascii="Arial" w:hAnsi="Arial" w:cs="Arial"/>
        </w:rPr>
        <w:t>Estados financieros y notas de las nueve empresas comercializadoras pertenecientes al grupo 1 de Medellín.</w:t>
      </w:r>
    </w:p>
    <w:p w14:paraId="3E14C106" w14:textId="07104301" w:rsidR="00350B72" w:rsidRDefault="00350B72" w:rsidP="00350B72">
      <w:pPr>
        <w:pStyle w:val="Prrafodelista"/>
        <w:numPr>
          <w:ilvl w:val="0"/>
          <w:numId w:val="4"/>
        </w:numPr>
        <w:spacing w:line="360" w:lineRule="auto"/>
        <w:jc w:val="both"/>
        <w:rPr>
          <w:rFonts w:ascii="Arial" w:hAnsi="Arial" w:cs="Arial"/>
        </w:rPr>
      </w:pPr>
      <w:r>
        <w:rPr>
          <w:rFonts w:ascii="Arial" w:hAnsi="Arial" w:cs="Arial"/>
        </w:rPr>
        <w:t>Conversiones realizadas a NIIF de las nueve empresas comercializadoras pertenecientes al grupo 1 de Medellín.</w:t>
      </w:r>
    </w:p>
    <w:p w14:paraId="43F2BB1A" w14:textId="5200B540" w:rsidR="00350B72" w:rsidRPr="00437C4B" w:rsidRDefault="00350B72" w:rsidP="00350B72">
      <w:pPr>
        <w:pStyle w:val="Prrafodelista"/>
        <w:spacing w:line="360" w:lineRule="auto"/>
        <w:jc w:val="both"/>
        <w:rPr>
          <w:rFonts w:ascii="Arial" w:hAnsi="Arial" w:cs="Arial"/>
        </w:rPr>
      </w:pPr>
    </w:p>
    <w:sectPr w:rsidR="00350B72" w:rsidRPr="00437C4B" w:rsidSect="00350B72">
      <w:footerReference w:type="default" r:id="rId9"/>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E90DC" w14:textId="77777777" w:rsidR="0013126C" w:rsidRDefault="0013126C" w:rsidP="00350B72">
      <w:pPr>
        <w:spacing w:after="0" w:line="240" w:lineRule="auto"/>
      </w:pPr>
      <w:r>
        <w:separator/>
      </w:r>
    </w:p>
  </w:endnote>
  <w:endnote w:type="continuationSeparator" w:id="0">
    <w:p w14:paraId="341CAD47" w14:textId="77777777" w:rsidR="0013126C" w:rsidRDefault="0013126C" w:rsidP="00350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84829"/>
      <w:docPartObj>
        <w:docPartGallery w:val="Page Numbers (Bottom of Page)"/>
        <w:docPartUnique/>
      </w:docPartObj>
    </w:sdtPr>
    <w:sdtEndPr/>
    <w:sdtContent>
      <w:p w14:paraId="5CE0F75D" w14:textId="3E0B2DC0" w:rsidR="00350B72" w:rsidRDefault="00350B72">
        <w:pPr>
          <w:pStyle w:val="Piedepgina"/>
          <w:jc w:val="right"/>
        </w:pPr>
        <w:r>
          <w:fldChar w:fldCharType="begin"/>
        </w:r>
        <w:r>
          <w:instrText>PAGE   \* MERGEFORMAT</w:instrText>
        </w:r>
        <w:r>
          <w:fldChar w:fldCharType="separate"/>
        </w:r>
        <w:r w:rsidR="00741496" w:rsidRPr="00741496">
          <w:rPr>
            <w:noProof/>
            <w:lang w:val="es-ES"/>
          </w:rPr>
          <w:t>4</w:t>
        </w:r>
        <w:r>
          <w:fldChar w:fldCharType="end"/>
        </w:r>
      </w:p>
    </w:sdtContent>
  </w:sdt>
  <w:p w14:paraId="61BF8D9A" w14:textId="77777777" w:rsidR="00350B72" w:rsidRDefault="00350B7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A7161" w14:textId="77777777" w:rsidR="0013126C" w:rsidRDefault="0013126C" w:rsidP="00350B72">
      <w:pPr>
        <w:spacing w:after="0" w:line="240" w:lineRule="auto"/>
      </w:pPr>
      <w:r>
        <w:separator/>
      </w:r>
    </w:p>
  </w:footnote>
  <w:footnote w:type="continuationSeparator" w:id="0">
    <w:p w14:paraId="6A397DD5" w14:textId="77777777" w:rsidR="0013126C" w:rsidRDefault="0013126C" w:rsidP="00350B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B13C6"/>
    <w:multiLevelType w:val="hybridMultilevel"/>
    <w:tmpl w:val="AE06A4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6D31C60"/>
    <w:multiLevelType w:val="multilevel"/>
    <w:tmpl w:val="B2C271B4"/>
    <w:lvl w:ilvl="0">
      <w:start w:val="1"/>
      <w:numFmt w:val="decimal"/>
      <w:lvlText w:val="%1."/>
      <w:lvlJc w:val="left"/>
      <w:pPr>
        <w:ind w:left="644" w:hanging="360"/>
      </w:pPr>
    </w:lvl>
    <w:lvl w:ilvl="1">
      <w:start w:val="1"/>
      <w:numFmt w:val="decimal"/>
      <w:lvlText w:val="%1.%2."/>
      <w:lvlJc w:val="left"/>
      <w:pPr>
        <w:ind w:left="1076" w:hanging="432"/>
      </w:pPr>
      <w:rPr>
        <w:lang w:val="es-CO"/>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 w15:restartNumberingAfterBreak="0">
    <w:nsid w:val="4CB208CD"/>
    <w:multiLevelType w:val="hybridMultilevel"/>
    <w:tmpl w:val="9C003D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F8E5342"/>
    <w:multiLevelType w:val="hybridMultilevel"/>
    <w:tmpl w:val="955A17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2B2"/>
    <w:rsid w:val="000D0945"/>
    <w:rsid w:val="000D6781"/>
    <w:rsid w:val="0013126C"/>
    <w:rsid w:val="001C26B1"/>
    <w:rsid w:val="00260599"/>
    <w:rsid w:val="0032382D"/>
    <w:rsid w:val="00350B72"/>
    <w:rsid w:val="00375B3F"/>
    <w:rsid w:val="003A5169"/>
    <w:rsid w:val="003F2063"/>
    <w:rsid w:val="004162B2"/>
    <w:rsid w:val="00421F14"/>
    <w:rsid w:val="00437C4B"/>
    <w:rsid w:val="004C249F"/>
    <w:rsid w:val="005F258D"/>
    <w:rsid w:val="006B3ACA"/>
    <w:rsid w:val="00741496"/>
    <w:rsid w:val="007D153E"/>
    <w:rsid w:val="00820C4D"/>
    <w:rsid w:val="0085553F"/>
    <w:rsid w:val="00856B73"/>
    <w:rsid w:val="008913D0"/>
    <w:rsid w:val="008B2264"/>
    <w:rsid w:val="008C01ED"/>
    <w:rsid w:val="008E21D0"/>
    <w:rsid w:val="00A8511E"/>
    <w:rsid w:val="00B4203E"/>
    <w:rsid w:val="00B80E4D"/>
    <w:rsid w:val="00BE14A1"/>
    <w:rsid w:val="00C926DC"/>
    <w:rsid w:val="00D4680A"/>
    <w:rsid w:val="00E6652A"/>
    <w:rsid w:val="00FC47DC"/>
    <w:rsid w:val="29EA6218"/>
    <w:rsid w:val="6DDAAA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BBDB9"/>
  <w15:docId w15:val="{F5063DC0-90B0-429B-B73C-F8A99A380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6652A"/>
    <w:pPr>
      <w:keepNext/>
      <w:keepLines/>
      <w:spacing w:before="240" w:after="0" w:line="259" w:lineRule="auto"/>
      <w:jc w:val="center"/>
      <w:outlineLvl w:val="0"/>
    </w:pPr>
    <w:rPr>
      <w:rFonts w:ascii="Arial" w:eastAsiaTheme="majorEastAsia" w:hAnsi="Arial" w:cstheme="majorBidi"/>
      <w:b/>
      <w:sz w:val="24"/>
      <w:szCs w:val="3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4203E"/>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4203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203E"/>
    <w:rPr>
      <w:rFonts w:ascii="Tahoma" w:hAnsi="Tahoma" w:cs="Tahoma"/>
      <w:sz w:val="16"/>
      <w:szCs w:val="16"/>
    </w:rPr>
  </w:style>
  <w:style w:type="paragraph" w:styleId="Prrafodelista">
    <w:name w:val="List Paragraph"/>
    <w:basedOn w:val="Normal"/>
    <w:uiPriority w:val="34"/>
    <w:qFormat/>
    <w:rsid w:val="006B3ACA"/>
    <w:pPr>
      <w:spacing w:after="160" w:line="259" w:lineRule="auto"/>
      <w:ind w:left="720"/>
      <w:contextualSpacing/>
    </w:pPr>
    <w:rPr>
      <w:lang w:val="es-MX"/>
    </w:rPr>
  </w:style>
  <w:style w:type="paragraph" w:styleId="Bibliografa">
    <w:name w:val="Bibliography"/>
    <w:basedOn w:val="Normal"/>
    <w:next w:val="Normal"/>
    <w:uiPriority w:val="37"/>
    <w:unhideWhenUsed/>
    <w:rsid w:val="008C01ED"/>
    <w:rPr>
      <w:rFonts w:eastAsiaTheme="minorEastAsia"/>
      <w:lang w:eastAsia="es-CO"/>
    </w:rPr>
  </w:style>
  <w:style w:type="character" w:customStyle="1" w:styleId="Ttulo1Car">
    <w:name w:val="Título 1 Car"/>
    <w:basedOn w:val="Fuentedeprrafopredeter"/>
    <w:link w:val="Ttulo1"/>
    <w:uiPriority w:val="9"/>
    <w:rsid w:val="00E6652A"/>
    <w:rPr>
      <w:rFonts w:ascii="Arial" w:eastAsiaTheme="majorEastAsia" w:hAnsi="Arial" w:cstheme="majorBidi"/>
      <w:b/>
      <w:sz w:val="24"/>
      <w:szCs w:val="32"/>
      <w:lang w:eastAsia="es-CO"/>
    </w:rPr>
  </w:style>
  <w:style w:type="paragraph" w:styleId="TtulodeTDC">
    <w:name w:val="TOC Heading"/>
    <w:basedOn w:val="Ttulo1"/>
    <w:next w:val="Normal"/>
    <w:uiPriority w:val="39"/>
    <w:semiHidden/>
    <w:unhideWhenUsed/>
    <w:qFormat/>
    <w:rsid w:val="00350B72"/>
    <w:pPr>
      <w:spacing w:before="480" w:line="276" w:lineRule="auto"/>
      <w:jc w:val="left"/>
      <w:outlineLvl w:val="9"/>
    </w:pPr>
    <w:rPr>
      <w:rFonts w:asciiTheme="majorHAnsi" w:hAnsiTheme="majorHAnsi"/>
      <w:bCs/>
      <w:color w:val="365F91" w:themeColor="accent1" w:themeShade="BF"/>
      <w:sz w:val="28"/>
      <w:szCs w:val="28"/>
    </w:rPr>
  </w:style>
  <w:style w:type="paragraph" w:styleId="TDC1">
    <w:name w:val="toc 1"/>
    <w:basedOn w:val="Normal"/>
    <w:next w:val="Normal"/>
    <w:autoRedefine/>
    <w:uiPriority w:val="39"/>
    <w:unhideWhenUsed/>
    <w:rsid w:val="00350B72"/>
    <w:pPr>
      <w:spacing w:after="100"/>
    </w:pPr>
  </w:style>
  <w:style w:type="character" w:styleId="Hipervnculo">
    <w:name w:val="Hyperlink"/>
    <w:basedOn w:val="Fuentedeprrafopredeter"/>
    <w:uiPriority w:val="99"/>
    <w:unhideWhenUsed/>
    <w:rsid w:val="00350B72"/>
    <w:rPr>
      <w:color w:val="0000FF" w:themeColor="hyperlink"/>
      <w:u w:val="single"/>
    </w:rPr>
  </w:style>
  <w:style w:type="paragraph" w:styleId="Encabezado">
    <w:name w:val="header"/>
    <w:basedOn w:val="Normal"/>
    <w:link w:val="EncabezadoCar"/>
    <w:uiPriority w:val="99"/>
    <w:unhideWhenUsed/>
    <w:rsid w:val="00350B7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50B72"/>
  </w:style>
  <w:style w:type="paragraph" w:styleId="Piedepgina">
    <w:name w:val="footer"/>
    <w:basedOn w:val="Normal"/>
    <w:link w:val="PiedepginaCar"/>
    <w:uiPriority w:val="99"/>
    <w:unhideWhenUsed/>
    <w:rsid w:val="00350B7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50B72"/>
  </w:style>
  <w:style w:type="character" w:styleId="Nmerodelnea">
    <w:name w:val="line number"/>
    <w:basedOn w:val="Fuentedeprrafopredeter"/>
    <w:uiPriority w:val="99"/>
    <w:semiHidden/>
    <w:unhideWhenUsed/>
    <w:rsid w:val="00350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6573-4D61-4180-B9EC-C538ABDB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1921</Words>
  <Characters>10568</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UDEA</dc:creator>
  <cp:lastModifiedBy>Cristian David Moreno Palacios</cp:lastModifiedBy>
  <cp:revision>8</cp:revision>
  <cp:lastPrinted>2015-08-14T16:34:00Z</cp:lastPrinted>
  <dcterms:created xsi:type="dcterms:W3CDTF">2015-08-14T04:42:00Z</dcterms:created>
  <dcterms:modified xsi:type="dcterms:W3CDTF">2015-09-18T04:18:00Z</dcterms:modified>
</cp:coreProperties>
</file>